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CF86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关于《社旗县商品房预售资金监管实施细则》的修订情况说明</w:t>
      </w:r>
    </w:p>
    <w:p w14:paraId="2EFBB99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sz w:val="32"/>
          <w:szCs w:val="32"/>
          <w:lang w:val="en-US" w:eastAsia="zh-CN"/>
        </w:rPr>
      </w:pPr>
    </w:p>
    <w:p w14:paraId="53C94E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修订背景</w:t>
      </w:r>
    </w:p>
    <w:p w14:paraId="20F206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规范我县商品房预售资金的监督管理，确保预售资金的安全、合规使用，维护预售商品房交易当事人的合法权益，促进房地产市场平稳健康发展，2024年11月28日，南阳市人民政府办公室印发《南阳市商品房预售资金监管办法（试行）》（宛政办〔2024〕27号），对监管办法进行修订。</w:t>
      </w:r>
    </w:p>
    <w:p w14:paraId="4F81BD0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现行的《社旗县商品房预售资金监管实施细则》是2022年12月31日印发的，为切实维护我县房地产市场正常秩序，增强预售资金监管的针对性和有效性，使监管的资金量适度合理，在保障预售商品房交易当事人合法权益、确保预售资金安全的同时，推动加快项目建设进度，修订实施办法势在必行。</w:t>
      </w:r>
    </w:p>
    <w:p w14:paraId="30C3BD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修订的主要内容</w:t>
      </w:r>
    </w:p>
    <w:p w14:paraId="7C17E910">
      <w:pPr>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（一）监管协议的签订及账户管理</w:t>
      </w:r>
    </w:p>
    <w:p w14:paraId="7024D692">
      <w:pPr>
        <w:keepNext w:val="0"/>
        <w:keepLines w:val="0"/>
        <w:pageBreakBefore w:val="0"/>
        <w:widowControl w:val="0"/>
        <w:kinsoku/>
        <w:wordWrap/>
        <w:overflowPunct/>
        <w:topLinePunct w:val="0"/>
        <w:autoSpaceDE w:val="0"/>
        <w:autoSpaceDN w:val="0"/>
        <w:bidi w:val="0"/>
        <w:adjustRightInd/>
        <w:snapToGrid w:val="0"/>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1.修改后：</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三章第</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一</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监管部门根据商品房项目建设工程造价、施工合同金额以及项目交付使用等因素，确定建设项目重点监管资金[重点监管资金总额：建设项目单方造价</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kern w:val="0"/>
          <w:sz w:val="32"/>
          <w:szCs w:val="32"/>
          <w:lang w:val="en-US" w:eastAsia="zh-CN"/>
        </w:rPr>
        <w:t>/㎡×规划许可证载楼栋建筑面积+不可预见费（</w:t>
      </w:r>
      <w:r>
        <w:rPr>
          <w:rFonts w:hint="eastAsia" w:ascii="仿宋_GB2312" w:hAnsi="仿宋_GB2312" w:eastAsia="仿宋_GB2312" w:cs="仿宋_GB2312"/>
          <w:i w:val="0"/>
          <w:iCs w:val="0"/>
          <w:caps w:val="0"/>
          <w:color w:val="121212"/>
          <w:spacing w:val="0"/>
          <w:sz w:val="32"/>
          <w:szCs w:val="32"/>
          <w:shd w:val="clear" w:fill="FFFFFF"/>
        </w:rPr>
        <w:t>不可预见费的费率根据企业信用评价等级、经营状况、市场环境等因素综合确定</w:t>
      </w:r>
      <w:r>
        <w:rPr>
          <w:rFonts w:hint="eastAsia" w:ascii="仿宋_GB2312" w:hAnsi="仿宋_GB2312" w:eastAsia="仿宋_GB2312" w:cs="仿宋_GB2312"/>
          <w:i w:val="0"/>
          <w:iCs w:val="0"/>
          <w:caps w:val="0"/>
          <w:color w:val="121212"/>
          <w:spacing w:val="0"/>
          <w:sz w:val="32"/>
          <w:szCs w:val="32"/>
          <w:shd w:val="clear" w:fill="FFFFFF"/>
          <w:lang w:eastAsia="zh-CN"/>
        </w:rPr>
        <w:t>）</w:t>
      </w:r>
      <w:r>
        <w:rPr>
          <w:rFonts w:hint="eastAsia" w:ascii="仿宋_GB2312" w:hAnsi="仿宋_GB2312" w:eastAsia="仿宋_GB2312" w:cs="仿宋_GB2312"/>
          <w:i w:val="0"/>
          <w:iCs w:val="0"/>
          <w:caps w:val="0"/>
          <w:color w:val="121212"/>
          <w:spacing w:val="0"/>
          <w:sz w:val="32"/>
          <w:szCs w:val="32"/>
          <w:shd w:val="clear" w:fill="FFFFFF"/>
        </w:rPr>
        <w:t>。</w:t>
      </w:r>
      <w:r>
        <w:rPr>
          <w:rFonts w:hint="eastAsia" w:ascii="仿宋_GB2312" w:hAnsi="仿宋_GB2312" w:eastAsia="仿宋_GB2312" w:cs="仿宋_GB2312"/>
          <w:kern w:val="0"/>
          <w:sz w:val="32"/>
          <w:szCs w:val="32"/>
          <w:lang w:val="en-US" w:eastAsia="zh-CN"/>
        </w:rPr>
        <w:t>]（精装修房屋除外）。房地产开发企业核定的单方造价超出上述标准的，以企业核定为准。</w:t>
      </w:r>
    </w:p>
    <w:p w14:paraId="5823FA8A">
      <w:pPr>
        <w:keepNext w:val="0"/>
        <w:keepLines w:val="0"/>
        <w:pageBreakBefore w:val="0"/>
        <w:widowControl w:val="0"/>
        <w:kinsoku/>
        <w:wordWrap/>
        <w:overflowPunct/>
        <w:topLinePunct w:val="0"/>
        <w:autoSpaceDE w:val="0"/>
        <w:autoSpaceDN w:val="0"/>
        <w:bidi w:val="0"/>
        <w:adjustRightInd/>
        <w:snapToGrid w:val="0"/>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2.社政办〔2022〕51号：</w:t>
      </w:r>
      <w:r>
        <w:rPr>
          <w:rFonts w:hint="eastAsia" w:ascii="仿宋_GB2312" w:hAnsi="仿宋_GB2312" w:eastAsia="仿宋_GB2312" w:cs="仿宋_GB2312"/>
          <w:kern w:val="0"/>
          <w:sz w:val="32"/>
          <w:szCs w:val="32"/>
          <w:lang w:eastAsia="zh-CN"/>
        </w:rPr>
        <w:t>监管部门根据商品房项目建设工程造价、施工合同金额以及项目交付使用等因素，确定建设项目重点监管资金[重点监管资金总额：建设项目单方造价</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kern w:val="0"/>
          <w:sz w:val="32"/>
          <w:szCs w:val="32"/>
          <w:lang w:val="en-US" w:eastAsia="zh-CN"/>
        </w:rPr>
        <w:t>/㎡×规划许可证载楼栋建筑面积+不可预见费]（精装修房屋除外）。房地产开发企业核定的单方造价超出上述标准的，以企业核定为准。</w:t>
      </w:r>
    </w:p>
    <w:p w14:paraId="04A87F2E">
      <w:pPr>
        <w:pStyle w:val="2"/>
        <w:keepNext w:val="0"/>
        <w:keepLines w:val="0"/>
        <w:pageBreakBefore w:val="0"/>
        <w:widowControl w:val="0"/>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不可预见费=建设项目每平方米造价（见本条第五款）×规划许可证载楼栋建筑面积×10%。</w:t>
      </w:r>
    </w:p>
    <w:p w14:paraId="6E031E39">
      <w:pPr>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（二）预售资金的缴存和使用</w:t>
      </w:r>
    </w:p>
    <w:p w14:paraId="15A67290">
      <w:pPr>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1.修改后：</w:t>
      </w:r>
      <w:r>
        <w:rPr>
          <w:rFonts w:hint="eastAsia" w:ascii="仿宋_GB2312" w:hAnsi="仿宋_GB2312" w:eastAsia="仿宋_GB2312" w:cs="仿宋_GB2312"/>
          <w:b/>
          <w:bCs/>
          <w:sz w:val="32"/>
          <w:szCs w:val="32"/>
          <w:lang w:val="en-US" w:eastAsia="zh-CN"/>
        </w:rPr>
        <w:t>第四章第二十三条</w:t>
      </w:r>
      <w:r>
        <w:rPr>
          <w:rFonts w:hint="eastAsia" w:ascii="仿宋_GB2312" w:hAnsi="仿宋_GB2312" w:eastAsia="仿宋_GB2312" w:cs="仿宋_GB2312"/>
          <w:sz w:val="32"/>
          <w:szCs w:val="32"/>
          <w:lang w:val="en-US" w:eastAsia="zh-CN"/>
        </w:rPr>
        <w:t xml:space="preserve"> 开发企业可多次申请使用重点监管资金，监管部门根据预售许可要求，累计拨付额度不应超过以下工程节点时应监管总额的百分比：建设层数达二分之一为40%、主体验收完成为60%、内外粉完成为70%、工程及配套设施建设具备验收条件为90%、竣工联合验收备案完成为95%、首次登记完成解除监管。</w:t>
      </w:r>
    </w:p>
    <w:p w14:paraId="573830D7">
      <w:pPr>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开发企业在办理预售许可证前投入的项目建设费用，可以据实核减监管额度。</w:t>
      </w:r>
    </w:p>
    <w:p w14:paraId="730B4AA2">
      <w:pPr>
        <w:pStyle w:val="2"/>
        <w:keepNext w:val="0"/>
        <w:keepLines w:val="0"/>
        <w:pageBreakBefore w:val="0"/>
        <w:widowControl w:val="0"/>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2.社政办〔2022〕51号：留存相应比例的不可预见费。不可预见费的调整幅度在2%-10%之间，随着工程进度的增加不断递减，具体递减标准如下：</w:t>
      </w:r>
    </w:p>
    <w:p w14:paraId="4F0CB98F">
      <w:pPr>
        <w:pStyle w:val="2"/>
        <w:keepNext w:val="0"/>
        <w:keepLines w:val="0"/>
        <w:pageBreakBefore w:val="0"/>
        <w:widowControl w:val="0"/>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（一）主体工程未封顶的为10%。</w:t>
      </w:r>
    </w:p>
    <w:p w14:paraId="242F65F6">
      <w:pPr>
        <w:pStyle w:val="2"/>
        <w:keepNext w:val="0"/>
        <w:keepLines w:val="0"/>
        <w:pageBreakBefore w:val="0"/>
        <w:widowControl w:val="0"/>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（二）主体工程已封顶的递减为8%。</w:t>
      </w:r>
    </w:p>
    <w:p w14:paraId="234AA753">
      <w:pPr>
        <w:pStyle w:val="2"/>
        <w:keepNext w:val="0"/>
        <w:keepLines w:val="0"/>
        <w:pageBreakBefore w:val="0"/>
        <w:widowControl w:val="0"/>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（三）内、外墙粉刷、门窗、电梯、消防、外墙装饰工程，完成其中3项工程的递减为6%，全部完成的递减为4%。</w:t>
      </w:r>
    </w:p>
    <w:p w14:paraId="3FE2192E">
      <w:pPr>
        <w:pStyle w:val="2"/>
        <w:keepNext w:val="0"/>
        <w:keepLines w:val="0"/>
        <w:pageBreakBefore w:val="0"/>
        <w:widowControl w:val="0"/>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（四）相关配套设施工程、小区绿化等已完工，具备交付条件的递减为2%。</w:t>
      </w:r>
    </w:p>
    <w:p w14:paraId="787FBF2D">
      <w:pPr>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（三）监管协议的签订及账户管理</w:t>
      </w:r>
    </w:p>
    <w:p w14:paraId="7BC803FC">
      <w:pPr>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新增部分：1.</w:t>
      </w:r>
      <w:r>
        <w:rPr>
          <w:rFonts w:hint="eastAsia" w:ascii="仿宋_GB2312" w:hAnsi="仿宋_GB2312" w:eastAsia="仿宋_GB2312" w:cs="仿宋_GB2312"/>
          <w:b/>
          <w:bCs/>
          <w:sz w:val="32"/>
          <w:szCs w:val="32"/>
          <w:lang w:val="en-US" w:eastAsia="zh-CN"/>
        </w:rPr>
        <w:t>第三章第十六条</w:t>
      </w:r>
      <w:r>
        <w:rPr>
          <w:rFonts w:hint="eastAsia" w:ascii="仿宋_GB2312" w:hAnsi="仿宋_GB2312" w:eastAsia="仿宋_GB2312" w:cs="仿宋_GB2312"/>
          <w:b w:val="0"/>
          <w:bCs w:val="0"/>
          <w:sz w:val="32"/>
          <w:szCs w:val="32"/>
          <w:lang w:val="en-US" w:eastAsia="zh-CN"/>
        </w:rPr>
        <w:t xml:space="preserve"> 预售资金实行银行专户监管制度。监管银行应按照统一标准建立商品房预售资金的收入、支出台账，完善授权审批等内部管理制度，准确、及时上传数据，定期核查预售资金审批支出等环节的制度执行情况。积极对接监管部门实现业务信息实时共享，自觉接受监管部门业务指导与监督。</w:t>
      </w:r>
    </w:p>
    <w:p w14:paraId="46EE08A3">
      <w:pPr>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bCs/>
          <w:sz w:val="32"/>
          <w:szCs w:val="32"/>
          <w:lang w:val="en-US" w:eastAsia="zh-CN"/>
        </w:rPr>
        <w:t>第三章第十七条</w:t>
      </w:r>
      <w:r>
        <w:rPr>
          <w:rFonts w:hint="eastAsia" w:ascii="仿宋_GB2312" w:hAnsi="仿宋_GB2312" w:eastAsia="仿宋_GB2312" w:cs="仿宋_GB2312"/>
          <w:sz w:val="32"/>
          <w:szCs w:val="32"/>
          <w:lang w:val="en-US" w:eastAsia="zh-CN"/>
        </w:rPr>
        <w:t xml:space="preserve"> 监管部门应就监管银行提供的预售资金监管服务进行定期考核评价，根据考评结果淘汰履行监管责任不到位的监管银行，金融监管部门按照相关账户管理规定予以配合。</w:t>
      </w:r>
    </w:p>
    <w:p w14:paraId="24E3DE4C">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（四）预售资金的缴存和使用</w:t>
      </w:r>
    </w:p>
    <w:p w14:paraId="56D626A7">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新增部分：1.</w:t>
      </w:r>
      <w:r>
        <w:rPr>
          <w:rFonts w:hint="eastAsia" w:ascii="仿宋_GB2312" w:hAnsi="仿宋_GB2312" w:eastAsia="仿宋_GB2312" w:cs="仿宋_GB2312"/>
          <w:b/>
          <w:bCs/>
          <w:sz w:val="32"/>
          <w:szCs w:val="32"/>
          <w:lang w:val="en-US" w:eastAsia="zh-CN"/>
        </w:rPr>
        <w:t>第四章第十八条</w:t>
      </w:r>
      <w:r>
        <w:rPr>
          <w:rFonts w:hint="eastAsia" w:ascii="仿宋_GB2312" w:hAnsi="仿宋_GB2312" w:eastAsia="仿宋_GB2312" w:cs="仿宋_GB2312"/>
          <w:b w:val="0"/>
          <w:bCs w:val="0"/>
          <w:sz w:val="32"/>
          <w:szCs w:val="32"/>
          <w:lang w:val="en-US" w:eastAsia="zh-CN"/>
        </w:rPr>
        <w:t xml:space="preserve"> 开发企业应将监管账户作为预售商品房房款收款账户提供给购房人，不得向购房人、银行提供非监管账户作为收款账户、按揭放款账户。</w:t>
      </w:r>
    </w:p>
    <w:p w14:paraId="4CADA55B">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监管部门对存入商品房预售资金监管账户的资金信息核实后，给予办理网签备案。</w:t>
      </w:r>
    </w:p>
    <w:p w14:paraId="7DE7E38D">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b w:val="0"/>
          <w:bCs w:val="0"/>
          <w:sz w:val="32"/>
          <w:szCs w:val="32"/>
          <w:lang w:val="en-US" w:eastAsia="zh-CN"/>
        </w:rPr>
        <w:t xml:space="preserve"> 开发企业与银行签订以未预售房产作抵押贷款合同时，贷款发放账户应与监管部门数据共享并接受监管；开发企业与银行签订按揭贷款、住房公积金贷款合作协议时，应约定监管账户作为放款账户。</w:t>
      </w:r>
    </w:p>
    <w:p w14:paraId="291A97FA">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b w:val="0"/>
          <w:bCs w:val="0"/>
          <w:sz w:val="32"/>
          <w:szCs w:val="32"/>
          <w:lang w:val="en-US" w:eastAsia="zh-CN"/>
        </w:rPr>
        <w:t>监管部门与监管银行实时共享商品房预售合同网签备案和预售资金入账信息，动态监控监管账户内资金缴存和拨付情况；监管银行应定期与监管部门进行对账，发现开发企业使用监管资金异常的，应当暂停拨付，并立即书面告知监管部门。</w:t>
      </w:r>
    </w:p>
    <w:p w14:paraId="79E6C7D9">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b w:val="0"/>
          <w:bCs w:val="0"/>
          <w:sz w:val="32"/>
          <w:szCs w:val="32"/>
          <w:lang w:val="en-US" w:eastAsia="zh-CN"/>
        </w:rPr>
        <w:t xml:space="preserve"> 开发企业按照工程建设进度申请支取重点监管资金时，应根据监管协议约定并附施工、监理等单位的书面证明材料与施工现场照片等证明材料，经监管部门核实同意，商业银行应及时拨付。开发企业申请支取一般监管资金的，需提供商品房预售资金使用申请书、监管账户余额证明等</w:t>
      </w:r>
    </w:p>
    <w:p w14:paraId="1F1AE562">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bCs/>
          <w:sz w:val="32"/>
          <w:szCs w:val="32"/>
          <w:lang w:val="en-US" w:eastAsia="zh-CN"/>
        </w:rPr>
        <w:t xml:space="preserve">第二十二条 </w:t>
      </w:r>
      <w:r>
        <w:rPr>
          <w:rFonts w:hint="eastAsia" w:ascii="仿宋_GB2312" w:hAnsi="仿宋_GB2312" w:eastAsia="仿宋_GB2312" w:cs="仿宋_GB2312"/>
          <w:b w:val="0"/>
          <w:bCs w:val="0"/>
          <w:sz w:val="32"/>
          <w:szCs w:val="32"/>
          <w:lang w:val="en-US" w:eastAsia="zh-CN"/>
        </w:rPr>
        <w:t>监管部门收到开发企业用款申请后，应对申请材料进行审核，符合资金使用条件，且累计拨付额度未超过工程节点额度的，应及时提出核实同意意见，监管银行据此及时拨付，不得无故迟滞资金拨付时间。</w:t>
      </w:r>
    </w:p>
    <w:p w14:paraId="3D2EF9A3">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对申请使用资金审核未通过的企业，监管部门应一次性告知开发企业未通过原因，并予以记录。</w:t>
      </w:r>
    </w:p>
    <w:p w14:paraId="4C12BC2C">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在风险可控前提下，经监管部门同意，开发企业可通过银行保函、商业保险、国有担保公司担保函替代不高于保函金额的重点监管资金，合理释放房地产企业资金流动性。</w:t>
      </w:r>
    </w:p>
    <w:p w14:paraId="48D337F4">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人民法院保全、执行商品房预售资金的，监管银行应当立即告知监管部门，并按照《最高人民法院 住房和城乡建设部 中国人民银行关于规范人民法院保全执行措施确保商品房预售资金用于项目建设的通知》（法[2022]12号）执行。</w:t>
      </w:r>
    </w:p>
    <w:p w14:paraId="40A36CC6">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bCs/>
          <w:sz w:val="32"/>
          <w:szCs w:val="32"/>
          <w:lang w:val="en-US" w:eastAsia="zh-CN"/>
        </w:rPr>
        <w:t xml:space="preserve">第二十七条 </w:t>
      </w:r>
      <w:r>
        <w:rPr>
          <w:rFonts w:hint="eastAsia" w:ascii="仿宋_GB2312" w:hAnsi="仿宋_GB2312" w:eastAsia="仿宋_GB2312" w:cs="仿宋_GB2312"/>
          <w:sz w:val="32"/>
          <w:szCs w:val="32"/>
          <w:lang w:val="en-US" w:eastAsia="zh-CN"/>
        </w:rPr>
        <w:t>购房人解除与开发企业《商品房买卖合同》后，需要在监管账户进行退款的，由开发企业向监管部门提出申请，并提交购房人房款存入监管账户的证明和购房人解除《商品房买卖合同》的有关材料，经监管部门审核同意后出具退款通知书，监管银行凭退款通知书办理退款事</w:t>
      </w:r>
      <w:bookmarkStart w:id="0" w:name="_GoBack"/>
      <w:bookmarkEnd w:id="0"/>
      <w:r>
        <w:rPr>
          <w:rFonts w:hint="eastAsia" w:ascii="仿宋_GB2312" w:hAnsi="仿宋_GB2312" w:eastAsia="仿宋_GB2312" w:cs="仿宋_GB2312"/>
          <w:sz w:val="32"/>
          <w:szCs w:val="32"/>
          <w:lang w:val="en-US" w:eastAsia="zh-CN"/>
        </w:rPr>
        <w:t>项。</w:t>
      </w:r>
    </w:p>
    <w:p w14:paraId="44993AF5">
      <w:pPr>
        <w:pStyle w:val="2"/>
        <w:keepNext w:val="0"/>
        <w:keepLines w:val="0"/>
        <w:pageBreakBefore w:val="0"/>
        <w:widowControl w:val="0"/>
        <w:numPr>
          <w:ilvl w:val="0"/>
          <w:numId w:val="0"/>
        </w:numPr>
        <w:kinsoku/>
        <w:wordWrap/>
        <w:overflowPunct/>
        <w:topLinePunct w:val="0"/>
        <w:bidi w:val="0"/>
        <w:adjustRightInd/>
        <w:snapToGrid w:val="0"/>
        <w:spacing w:line="576" w:lineRule="exact"/>
        <w:ind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_GB2312" w:eastAsia="仿宋_GB2312" w:cs="仿宋_GB2312"/>
          <w:sz w:val="32"/>
          <w:szCs w:val="32"/>
          <w:lang w:val="en-US" w:eastAsia="zh-CN"/>
        </w:rPr>
        <w:t>购房人所退款项属于公积金贷款或提取的，应按照约定金额和时间退回至南阳市公积金管理中心账户。</w:t>
      </w:r>
    </w:p>
    <w:p w14:paraId="12F395D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意见协调情况</w:t>
      </w:r>
    </w:p>
    <w:p w14:paraId="67D81142">
      <w:pPr>
        <w:pStyle w:val="2"/>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该《实施细则》已征求社旗金融监管支局、县住建局、县自然资源局、县人民法院、南阳市住房公积金管理中心社旗管理部等相关单位意见并修改完善。</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52B01"/>
    <w:rsid w:val="06A6564C"/>
    <w:rsid w:val="087409A3"/>
    <w:rsid w:val="0DD028B8"/>
    <w:rsid w:val="22A00653"/>
    <w:rsid w:val="258959C2"/>
    <w:rsid w:val="261A0BE6"/>
    <w:rsid w:val="319B6BB5"/>
    <w:rsid w:val="38F848ED"/>
    <w:rsid w:val="3D4313C4"/>
    <w:rsid w:val="41AA69A0"/>
    <w:rsid w:val="47235C82"/>
    <w:rsid w:val="475F1FDB"/>
    <w:rsid w:val="47BE6D02"/>
    <w:rsid w:val="4EC54E1A"/>
    <w:rsid w:val="4F1D07B2"/>
    <w:rsid w:val="521440A9"/>
    <w:rsid w:val="524D0536"/>
    <w:rsid w:val="57D8051B"/>
    <w:rsid w:val="62CB44FA"/>
    <w:rsid w:val="63495BC1"/>
    <w:rsid w:val="65FF07B9"/>
    <w:rsid w:val="66833198"/>
    <w:rsid w:val="747A00A6"/>
    <w:rsid w:val="7E105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2427</Words>
  <Characters>2496</Characters>
  <Lines>0</Lines>
  <Paragraphs>0</Paragraphs>
  <TotalTime>198</TotalTime>
  <ScaleCrop>false</ScaleCrop>
  <LinksUpToDate>false</LinksUpToDate>
  <CharactersWithSpaces>2520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2025-02-25T02:01:00Z</dcterms:created>
  <dc:creator>Administrator</dc:creator>
  <cp:lastModifiedBy>Y·YZ</cp:lastModifiedBy>
  <cp:lastPrinted>2025-03-10T03:59:00Z</cp:lastPrinted>
  <dcterms:modified xsi:type="dcterms:W3CDTF">2026-01-14T03:19:18Z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eyJoZGlkIjoiNzhlZmIzM2I0Y2VjYzc5MDI0ODZkMjYzZjRhNmZlNGYiLCJ1c2VySWQiOiIzODM4NDkxNjUifQ==</vt:lpwstr>
  </property>
  <property fmtid="{D5CDD505-2E9C-101B-9397-08002B2CF9AE}" pid="4" name="ICV">
    <vt:lpwstr>F77466032E8F4E0EB2D2906E3CE867FF_13</vt:lpwstr>
  </property>
</Properties>
</file>