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6FA28D">
      <w:pPr>
        <w:keepNext w:val="0"/>
        <w:keepLines w:val="0"/>
        <w:pageBreakBefore w:val="0"/>
        <w:widowControl w:val="0"/>
        <w:shd w:val="clear"/>
        <w:kinsoku/>
        <w:wordWrap/>
        <w:topLinePunct w:val="0"/>
        <w:autoSpaceDE/>
        <w:autoSpaceDN w:val="0"/>
        <w:bidi w:val="0"/>
        <w:adjustRightInd/>
        <w:snapToGrid/>
        <w:spacing w:before="0" w:after="0" w:line="240" w:lineRule="auto"/>
        <w:ind w:left="0" w:leftChars="0" w:right="0" w:firstLine="0" w:firstLineChars="0"/>
        <w:jc w:val="both"/>
        <w:textAlignment w:val="center"/>
        <w:outlineLvl w:val="9"/>
        <w:rPr>
          <w:rFonts w:hint="eastAsia" w:ascii="黑体" w:hAnsi="黑体" w:eastAsia="黑体" w:cs="黑体"/>
          <w:sz w:val="32"/>
          <w:szCs w:val="32"/>
          <w:highlight w:val="none"/>
          <w:shd w:val="clear" w:color="auto" w:fill="auto"/>
          <w:lang w:val="en-US" w:eastAsia="zh-CN"/>
        </w:rPr>
      </w:pPr>
      <w:r>
        <w:rPr>
          <w:rFonts w:hint="eastAsia" w:ascii="黑体" w:hAnsi="黑体" w:eastAsia="黑体" w:cs="黑体"/>
          <w:sz w:val="32"/>
          <w:szCs w:val="32"/>
          <w:highlight w:val="none"/>
          <w:shd w:val="clear" w:color="auto" w:fill="auto"/>
          <w:lang w:val="en-US" w:eastAsia="zh-CN"/>
        </w:rPr>
        <w:t>附件3</w:t>
      </w:r>
    </w:p>
    <w:p w14:paraId="6A0FCD6B">
      <w:pPr>
        <w:keepNext w:val="0"/>
        <w:keepLines w:val="0"/>
        <w:pageBreakBefore w:val="0"/>
        <w:widowControl w:val="0"/>
        <w:shd w:val="clear"/>
        <w:kinsoku/>
        <w:wordWrap/>
        <w:overflowPunct/>
        <w:topLinePunct w:val="0"/>
        <w:autoSpaceDE/>
        <w:autoSpaceDN w:val="0"/>
        <w:bidi w:val="0"/>
        <w:adjustRightInd/>
        <w:snapToGrid/>
        <w:spacing w:before="157" w:beforeLines="50" w:after="0" w:line="240" w:lineRule="auto"/>
        <w:ind w:left="0" w:leftChars="0" w:right="0" w:firstLine="0" w:firstLineChars="0"/>
        <w:jc w:val="center"/>
        <w:textAlignment w:val="center"/>
        <w:outlineLvl w:val="9"/>
        <w:rPr>
          <w:rFonts w:hint="eastAsia" w:ascii="黑体" w:hAnsi="黑体" w:eastAsia="黑体" w:cs="黑体"/>
          <w:b w:val="0"/>
          <w:bCs w:val="0"/>
          <w:i w:val="0"/>
          <w:color w:val="auto"/>
          <w:kern w:val="0"/>
          <w:sz w:val="44"/>
          <w:szCs w:val="44"/>
          <w:highlight w:val="none"/>
          <w:u w:val="none"/>
          <w:shd w:val="clear" w:color="auto" w:fill="auto"/>
          <w:lang w:val="en-US" w:eastAsia="zh-CN"/>
        </w:rPr>
      </w:pPr>
      <w:r>
        <w:rPr>
          <w:rFonts w:hint="eastAsia" w:ascii="黑体" w:hAnsi="黑体" w:eastAsia="黑体" w:cs="黑体"/>
          <w:b w:val="0"/>
          <w:bCs w:val="0"/>
          <w:i w:val="0"/>
          <w:color w:val="auto"/>
          <w:kern w:val="0"/>
          <w:sz w:val="44"/>
          <w:szCs w:val="44"/>
          <w:highlight w:val="none"/>
          <w:u w:val="none"/>
          <w:shd w:val="clear" w:color="auto" w:fill="auto"/>
          <w:lang w:val="en-US" w:eastAsia="zh-CN"/>
        </w:rPr>
        <w:t>社旗县交通运输局权责清单调整情况表</w:t>
      </w:r>
    </w:p>
    <w:tbl>
      <w:tblPr>
        <w:tblStyle w:val="3"/>
        <w:tblW w:w="154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44"/>
        <w:gridCol w:w="1847"/>
        <w:gridCol w:w="3300"/>
        <w:gridCol w:w="1059"/>
        <w:gridCol w:w="1485"/>
        <w:gridCol w:w="3323"/>
        <w:gridCol w:w="1646"/>
        <w:gridCol w:w="1646"/>
      </w:tblGrid>
      <w:tr w14:paraId="727E8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11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668A3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序号</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D58A6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项目名称</w:t>
            </w:r>
          </w:p>
        </w:tc>
        <w:tc>
          <w:tcPr>
            <w:tcW w:w="33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40169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实施依据</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4F6A2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职权</w:t>
            </w:r>
          </w:p>
          <w:p w14:paraId="6475F97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类别</w:t>
            </w:r>
          </w:p>
        </w:tc>
        <w:tc>
          <w:tcPr>
            <w:tcW w:w="14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4F6A4E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办理环节</w:t>
            </w:r>
          </w:p>
        </w:tc>
        <w:tc>
          <w:tcPr>
            <w:tcW w:w="332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7AAA3D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责任事项</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EE7174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追责情形</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802841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责任科室</w:t>
            </w:r>
          </w:p>
        </w:tc>
      </w:tr>
      <w:tr w14:paraId="5042C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41" w:hRule="atLeast"/>
          <w:jc w:val="center"/>
        </w:trPr>
        <w:tc>
          <w:tcPr>
            <w:tcW w:w="114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D4BF29F">
            <w:pPr>
              <w:keepNext w:val="0"/>
              <w:keepLines w:val="0"/>
              <w:pageBreakBefore w:val="0"/>
              <w:kinsoku/>
              <w:wordWrap/>
              <w:topLinePunct w:val="0"/>
              <w:autoSpaceDE/>
              <w:autoSpaceDN/>
              <w:bidi w:val="0"/>
              <w:adjustRightInd/>
              <w:snapToGrid/>
              <w:spacing w:before="0" w:beforeLines="0" w:after="0" w:afterLines="0" w:line="240" w:lineRule="auto"/>
              <w:ind w:left="0" w:leftChars="0" w:right="0" w:rightChars="0" w:firstLine="0" w:firstLineChars="0"/>
              <w:jc w:val="center"/>
              <w:outlineLvl w:val="9"/>
              <w:rPr>
                <w:rFonts w:hint="eastAsia"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i w:val="0"/>
                <w:caps w:val="0"/>
                <w:color w:val="auto"/>
                <w:spacing w:val="0"/>
                <w:sz w:val="20"/>
                <w:szCs w:val="20"/>
                <w:highlight w:val="none"/>
                <w:shd w:val="clear" w:color="auto" w:fill="auto"/>
                <w:lang w:val="en-US" w:eastAsia="zh-CN"/>
              </w:rPr>
              <w:t>1</w:t>
            </w:r>
          </w:p>
        </w:tc>
        <w:tc>
          <w:tcPr>
            <w:tcW w:w="1847"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3F4E19A">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i w:val="0"/>
                <w:caps w:val="0"/>
                <w:color w:val="auto"/>
                <w:spacing w:val="0"/>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rPr>
              <w:t>擅自占用、挖掘公路的处罚</w:t>
            </w:r>
            <w:r>
              <w:rPr>
                <w:rFonts w:hint="eastAsia" w:ascii="宋体" w:hAnsi="宋体" w:eastAsia="宋体" w:cs="宋体"/>
                <w:color w:val="auto"/>
                <w:sz w:val="20"/>
                <w:szCs w:val="20"/>
                <w:highlight w:val="none"/>
                <w:shd w:val="clear" w:color="auto" w:fill="auto"/>
                <w:lang w:eastAsia="zh-CN"/>
              </w:rPr>
              <w:t>（</w:t>
            </w:r>
            <w:r>
              <w:rPr>
                <w:rFonts w:hint="eastAsia" w:ascii="宋体" w:hAnsi="宋体" w:eastAsia="宋体" w:cs="宋体"/>
                <w:color w:val="auto"/>
                <w:sz w:val="20"/>
                <w:szCs w:val="20"/>
                <w:highlight w:val="none"/>
                <w:shd w:val="clear" w:color="auto" w:fill="auto"/>
                <w:lang w:val="en-US" w:eastAsia="zh-CN"/>
              </w:rPr>
              <w:t>乡道、村道</w:t>
            </w:r>
            <w:r>
              <w:rPr>
                <w:rFonts w:hint="eastAsia" w:ascii="宋体" w:hAnsi="宋体" w:eastAsia="宋体" w:cs="宋体"/>
                <w:color w:val="auto"/>
                <w:sz w:val="20"/>
                <w:szCs w:val="20"/>
                <w:highlight w:val="none"/>
                <w:shd w:val="clear" w:color="auto" w:fill="auto"/>
                <w:lang w:eastAsia="zh-CN"/>
              </w:rPr>
              <w:t>）</w:t>
            </w:r>
          </w:p>
        </w:tc>
        <w:tc>
          <w:tcPr>
            <w:tcW w:w="3300" w:type="dxa"/>
            <w:vMerge w:val="restart"/>
            <w:tcBorders>
              <w:top w:val="single" w:color="000000" w:sz="4" w:space="0"/>
              <w:left w:val="single" w:color="000000" w:sz="4" w:space="0"/>
              <w:right w:val="nil"/>
            </w:tcBorders>
            <w:tcMar>
              <w:top w:w="15" w:type="dxa"/>
              <w:left w:w="15" w:type="dxa"/>
              <w:right w:w="15" w:type="dxa"/>
            </w:tcMar>
            <w:vAlign w:val="center"/>
          </w:tcPr>
          <w:p w14:paraId="5B2A52B5">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i w:val="0"/>
                <w:caps w:val="0"/>
                <w:color w:val="auto"/>
                <w:spacing w:val="0"/>
                <w:sz w:val="20"/>
                <w:szCs w:val="20"/>
                <w:highlight w:val="none"/>
                <w:shd w:val="clear" w:color="auto" w:fill="auto"/>
              </w:rPr>
            </w:pPr>
            <w:r>
              <w:rPr>
                <w:rFonts w:hint="eastAsia" w:ascii="宋体" w:hAnsi="宋体" w:eastAsia="宋体" w:cs="宋体"/>
                <w:color w:val="auto"/>
                <w:sz w:val="20"/>
                <w:szCs w:val="20"/>
                <w:highlight w:val="none"/>
                <w:shd w:val="clear" w:color="auto" w:fill="auto"/>
              </w:rPr>
              <w:t>《中华人民共和国公路法》第七十六条： “ 有下列违法行为之一的，由交通主管部门责令停止违法行为，可以处三万元以下的罚款：（一）违反本法第四十四条第一款规定，擅自占用挖掘公路的;……。”</w:t>
            </w:r>
          </w:p>
        </w:tc>
        <w:tc>
          <w:tcPr>
            <w:tcW w:w="1059" w:type="dxa"/>
            <w:vMerge w:val="restart"/>
            <w:tcBorders>
              <w:top w:val="single" w:color="000000" w:sz="4" w:space="0"/>
              <w:left w:val="single" w:color="000000" w:sz="4" w:space="0"/>
              <w:right w:val="single" w:color="auto" w:sz="4" w:space="0"/>
            </w:tcBorders>
            <w:tcMar>
              <w:top w:w="15" w:type="dxa"/>
              <w:left w:w="15" w:type="dxa"/>
              <w:right w:w="15" w:type="dxa"/>
            </w:tcMar>
            <w:vAlign w:val="center"/>
          </w:tcPr>
          <w:p w14:paraId="49B35D7C">
            <w:pPr>
              <w:keepNext w:val="0"/>
              <w:keepLines w:val="0"/>
              <w:pageBreakBefore w:val="0"/>
              <w:widowControl/>
              <w:suppressLineNumbers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b w:val="0"/>
                <w:bCs w:val="0"/>
                <w:color w:val="auto"/>
                <w:sz w:val="20"/>
                <w:szCs w:val="20"/>
                <w:highlight w:val="none"/>
                <w:shd w:val="clear" w:color="auto" w:fill="auto"/>
                <w:lang w:eastAsia="zh-CN"/>
              </w:rPr>
              <w:t>行政处罚</w:t>
            </w: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618D16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B94D4B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47C1C48C">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608FCA6A">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r>
      <w:tr w14:paraId="73B88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71"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24596CB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sz w:val="20"/>
                <w:szCs w:val="20"/>
                <w:highlight w:val="none"/>
                <w:shd w:val="clear" w:color="auto" w:fill="auto"/>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0FF2A6E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sz w:val="20"/>
                <w:szCs w:val="20"/>
                <w:highlight w:val="none"/>
                <w:shd w:val="clear" w:color="auto" w:fill="auto"/>
              </w:rPr>
            </w:pPr>
          </w:p>
        </w:tc>
        <w:tc>
          <w:tcPr>
            <w:tcW w:w="3300" w:type="dxa"/>
            <w:vMerge w:val="continue"/>
            <w:tcBorders>
              <w:left w:val="single" w:color="000000" w:sz="4" w:space="0"/>
              <w:right w:val="nil"/>
            </w:tcBorders>
            <w:tcMar>
              <w:top w:w="15" w:type="dxa"/>
              <w:left w:w="15" w:type="dxa"/>
              <w:right w:w="15" w:type="dxa"/>
            </w:tcMar>
            <w:vAlign w:val="center"/>
          </w:tcPr>
          <w:p w14:paraId="1F1205E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sz w:val="20"/>
                <w:szCs w:val="20"/>
                <w:highlight w:val="none"/>
                <w:shd w:val="clear" w:color="auto" w:fill="auto"/>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752118C8">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sz w:val="20"/>
                <w:szCs w:val="20"/>
                <w:highlight w:val="none"/>
                <w:shd w:val="clear" w:color="auto" w:fill="auto"/>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99B466F">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157596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633A64D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5BDBEBE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2CE34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54192AB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533F825A">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1D915F0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3EF2038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73B93D2">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43C738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3A13FE04">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49C7CB0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7A13A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5641E14F">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2C9F8390">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67AFFD1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140DF13D">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76A685A">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CEC8A04">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256E6496">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276582D6">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766E5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2C2780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3B39A6A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val="en-US" w:eastAsia="zh-CN"/>
              </w:rPr>
            </w:pPr>
            <w:r>
              <w:rPr>
                <w:rFonts w:hint="eastAsia" w:ascii="宋体" w:hAnsi="宋体" w:eastAsia="宋体" w:cs="宋体"/>
                <w:color w:val="auto"/>
                <w:sz w:val="20"/>
                <w:szCs w:val="20"/>
                <w:highlight w:val="none"/>
                <w:shd w:val="clear" w:color="auto" w:fill="auto"/>
                <w:lang w:val="en-US" w:eastAsia="zh-CN"/>
              </w:rPr>
              <w:t>调整情况：下放</w:t>
            </w:r>
          </w:p>
        </w:tc>
      </w:tr>
      <w:tr w14:paraId="02AFD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14:paraId="0495BC1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35A738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lang w:eastAsia="zh-CN"/>
              </w:rPr>
              <w:t>调整原因：根据《南阳市人民政府关于优化调整赋予乡镇（街道）行政处罚权的通知(宛政[2025]11号)文件要求</w:t>
            </w:r>
          </w:p>
        </w:tc>
      </w:tr>
      <w:tr w14:paraId="61695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11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3378C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序号</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F676C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项目名称</w:t>
            </w:r>
          </w:p>
        </w:tc>
        <w:tc>
          <w:tcPr>
            <w:tcW w:w="33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8EBF3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实施依据</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2A629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职权</w:t>
            </w:r>
          </w:p>
          <w:p w14:paraId="66FFD79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类别</w:t>
            </w:r>
          </w:p>
        </w:tc>
        <w:tc>
          <w:tcPr>
            <w:tcW w:w="14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829B50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办理环节</w:t>
            </w:r>
          </w:p>
        </w:tc>
        <w:tc>
          <w:tcPr>
            <w:tcW w:w="332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5AAC94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责任事项</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BC1732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追责情形</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D4B967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责任科室</w:t>
            </w:r>
          </w:p>
        </w:tc>
      </w:tr>
      <w:tr w14:paraId="372CF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41" w:hRule="atLeast"/>
          <w:jc w:val="center"/>
        </w:trPr>
        <w:tc>
          <w:tcPr>
            <w:tcW w:w="114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41299DF">
            <w:pPr>
              <w:keepNext w:val="0"/>
              <w:keepLines w:val="0"/>
              <w:pageBreakBefore w:val="0"/>
              <w:kinsoku/>
              <w:wordWrap/>
              <w:topLinePunct w:val="0"/>
              <w:autoSpaceDE/>
              <w:autoSpaceDN/>
              <w:bidi w:val="0"/>
              <w:adjustRightInd/>
              <w:snapToGrid/>
              <w:spacing w:before="0" w:beforeLines="0" w:after="0" w:afterLines="0" w:line="240" w:lineRule="auto"/>
              <w:ind w:left="0" w:leftChars="0" w:right="0" w:rightChars="0" w:firstLine="0" w:firstLineChars="0"/>
              <w:jc w:val="center"/>
              <w:outlineLvl w:val="9"/>
              <w:rPr>
                <w:rFonts w:hint="eastAsia"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i w:val="0"/>
                <w:caps w:val="0"/>
                <w:color w:val="auto"/>
                <w:spacing w:val="0"/>
                <w:sz w:val="20"/>
                <w:szCs w:val="20"/>
                <w:highlight w:val="none"/>
                <w:shd w:val="clear" w:color="auto" w:fill="auto"/>
                <w:lang w:val="en-US" w:eastAsia="zh-CN"/>
              </w:rPr>
              <w:t>2</w:t>
            </w:r>
          </w:p>
        </w:tc>
        <w:tc>
          <w:tcPr>
            <w:tcW w:w="1847"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07E4529">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i w:val="0"/>
                <w:caps w:val="0"/>
                <w:color w:val="auto"/>
                <w:spacing w:val="0"/>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rPr>
              <w:t>铁轮车、履带车和其他可能损害路面的机具擅自在公路上行驶的处罚</w:t>
            </w:r>
            <w:r>
              <w:rPr>
                <w:rFonts w:hint="eastAsia" w:ascii="宋体" w:hAnsi="宋体" w:eastAsia="宋体" w:cs="宋体"/>
                <w:color w:val="auto"/>
                <w:sz w:val="20"/>
                <w:szCs w:val="20"/>
                <w:highlight w:val="none"/>
                <w:shd w:val="clear" w:color="auto" w:fill="auto"/>
                <w:lang w:eastAsia="zh-CN"/>
              </w:rPr>
              <w:t>（</w:t>
            </w:r>
            <w:r>
              <w:rPr>
                <w:rFonts w:hint="eastAsia" w:ascii="宋体" w:hAnsi="宋体" w:eastAsia="宋体" w:cs="宋体"/>
                <w:color w:val="auto"/>
                <w:sz w:val="20"/>
                <w:szCs w:val="20"/>
                <w:highlight w:val="none"/>
                <w:shd w:val="clear" w:color="auto" w:fill="auto"/>
                <w:lang w:val="en-US" w:eastAsia="zh-CN"/>
              </w:rPr>
              <w:t>乡道、村道</w:t>
            </w:r>
            <w:r>
              <w:rPr>
                <w:rFonts w:hint="eastAsia" w:ascii="宋体" w:hAnsi="宋体" w:eastAsia="宋体" w:cs="宋体"/>
                <w:color w:val="auto"/>
                <w:sz w:val="20"/>
                <w:szCs w:val="20"/>
                <w:highlight w:val="none"/>
                <w:shd w:val="clear" w:color="auto" w:fill="auto"/>
                <w:lang w:eastAsia="zh-CN"/>
              </w:rPr>
              <w:t>）</w:t>
            </w:r>
          </w:p>
        </w:tc>
        <w:tc>
          <w:tcPr>
            <w:tcW w:w="3300" w:type="dxa"/>
            <w:vMerge w:val="restart"/>
            <w:tcBorders>
              <w:top w:val="single" w:color="000000" w:sz="4" w:space="0"/>
              <w:left w:val="single" w:color="000000" w:sz="4" w:space="0"/>
              <w:right w:val="nil"/>
            </w:tcBorders>
            <w:tcMar>
              <w:top w:w="15" w:type="dxa"/>
              <w:left w:w="15" w:type="dxa"/>
              <w:right w:w="15" w:type="dxa"/>
            </w:tcMar>
            <w:vAlign w:val="center"/>
          </w:tcPr>
          <w:p w14:paraId="78D8280B">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i w:val="0"/>
                <w:caps w:val="0"/>
                <w:color w:val="auto"/>
                <w:spacing w:val="0"/>
                <w:sz w:val="20"/>
                <w:szCs w:val="20"/>
                <w:highlight w:val="none"/>
                <w:shd w:val="clear" w:color="auto" w:fill="auto"/>
              </w:rPr>
            </w:pPr>
            <w:r>
              <w:rPr>
                <w:rFonts w:hint="eastAsia" w:ascii="宋体" w:hAnsi="宋体" w:eastAsia="宋体" w:cs="宋体"/>
                <w:color w:val="auto"/>
                <w:sz w:val="20"/>
                <w:szCs w:val="20"/>
                <w:highlight w:val="none"/>
                <w:shd w:val="clear" w:color="auto" w:fill="auto"/>
              </w:rPr>
              <w:t>《中华人民共和国公路法》（2017年主席令第81号）第七十六条： “有下列违法行为之一的，由交通主管部门责令停止违法行为，可以处三万元以下的罚款： …… （四）违反本法第四十八条规定，铁轮车、履带车和其他可能损害路面的机具擅自在公路上行驶的。”</w:t>
            </w:r>
          </w:p>
        </w:tc>
        <w:tc>
          <w:tcPr>
            <w:tcW w:w="1059" w:type="dxa"/>
            <w:vMerge w:val="restart"/>
            <w:tcBorders>
              <w:top w:val="single" w:color="000000" w:sz="4" w:space="0"/>
              <w:left w:val="single" w:color="000000" w:sz="4" w:space="0"/>
              <w:right w:val="single" w:color="auto" w:sz="4" w:space="0"/>
            </w:tcBorders>
            <w:tcMar>
              <w:top w:w="15" w:type="dxa"/>
              <w:left w:w="15" w:type="dxa"/>
              <w:right w:w="15" w:type="dxa"/>
            </w:tcMar>
            <w:vAlign w:val="center"/>
          </w:tcPr>
          <w:p w14:paraId="0D18CC19">
            <w:pPr>
              <w:keepNext w:val="0"/>
              <w:keepLines w:val="0"/>
              <w:pageBreakBefore w:val="0"/>
              <w:widowControl/>
              <w:suppressLineNumbers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b w:val="0"/>
                <w:bCs w:val="0"/>
                <w:color w:val="auto"/>
                <w:sz w:val="20"/>
                <w:szCs w:val="20"/>
                <w:highlight w:val="none"/>
                <w:shd w:val="clear" w:color="auto" w:fill="auto"/>
                <w:lang w:eastAsia="zh-CN"/>
              </w:rPr>
              <w:t>行政处罚</w:t>
            </w: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7BB59F3">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8F8AC9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41CD6BF8">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7EA18C04">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r>
      <w:tr w14:paraId="1E544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61"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5024DEB2">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0E0DC60F">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3300" w:type="dxa"/>
            <w:vMerge w:val="continue"/>
            <w:tcBorders>
              <w:left w:val="single" w:color="000000" w:sz="4" w:space="0"/>
              <w:right w:val="nil"/>
            </w:tcBorders>
            <w:tcMar>
              <w:top w:w="15" w:type="dxa"/>
              <w:left w:w="15" w:type="dxa"/>
              <w:right w:w="15" w:type="dxa"/>
            </w:tcMar>
            <w:vAlign w:val="center"/>
          </w:tcPr>
          <w:p w14:paraId="413CEC8F">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4549836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4C2424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BB1923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4BFF51B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463942E4">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0D473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50"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38A9532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417C72D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53865BE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33574BBF">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EA89968">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0B0DFC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1D40E100">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70B412A4">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4F069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0"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6514B724">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73B9B698">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650172DA">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252A5F2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C821DC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3A4C54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1BB9FDD8">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5414D24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2F12A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40CD3E6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24DCD5E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val="en-US" w:eastAsia="zh-CN"/>
              </w:rPr>
            </w:pPr>
            <w:r>
              <w:rPr>
                <w:rFonts w:hint="eastAsia" w:ascii="宋体" w:hAnsi="宋体" w:eastAsia="宋体" w:cs="宋体"/>
                <w:color w:val="auto"/>
                <w:sz w:val="20"/>
                <w:szCs w:val="20"/>
                <w:highlight w:val="none"/>
                <w:shd w:val="clear" w:color="auto" w:fill="auto"/>
                <w:lang w:val="en-US" w:eastAsia="zh-CN"/>
              </w:rPr>
              <w:t>调整情况：下放</w:t>
            </w:r>
          </w:p>
        </w:tc>
      </w:tr>
      <w:tr w14:paraId="28341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14:paraId="34AD10E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A3AB8F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lang w:eastAsia="zh-CN"/>
              </w:rPr>
              <w:t>调整原因：根据《南阳市人民政府关于优化调整赋予乡镇（街道）行政处罚权的通知(宛政[2025]11号)文件要求</w:t>
            </w:r>
          </w:p>
        </w:tc>
      </w:tr>
    </w:tbl>
    <w:p w14:paraId="217336B7">
      <w:pPr>
        <w:keepNext w:val="0"/>
        <w:keepLines w:val="0"/>
        <w:pageBreakBefore w:val="0"/>
        <w:widowControl w:val="0"/>
        <w:shd w:val="clear"/>
        <w:kinsoku/>
        <w:wordWrap/>
        <w:overflowPunct/>
        <w:topLinePunct w:val="0"/>
        <w:autoSpaceDE/>
        <w:autoSpaceDN w:val="0"/>
        <w:bidi w:val="0"/>
        <w:adjustRightInd/>
        <w:snapToGrid/>
        <w:spacing w:before="157" w:beforeLines="50" w:after="0" w:line="240" w:lineRule="auto"/>
        <w:ind w:left="0" w:leftChars="0" w:right="0" w:firstLine="0" w:firstLineChars="0"/>
        <w:jc w:val="center"/>
        <w:textAlignment w:val="center"/>
        <w:outlineLvl w:val="9"/>
        <w:rPr>
          <w:rFonts w:hint="eastAsia" w:ascii="黑体" w:hAnsi="黑体" w:eastAsia="黑体" w:cs="黑体"/>
          <w:b w:val="0"/>
          <w:bCs w:val="0"/>
          <w:i w:val="0"/>
          <w:color w:val="auto"/>
          <w:kern w:val="0"/>
          <w:sz w:val="44"/>
          <w:szCs w:val="44"/>
          <w:highlight w:val="none"/>
          <w:u w:val="none"/>
          <w:shd w:val="clear" w:color="auto" w:fill="auto"/>
          <w:lang w:val="en-US" w:eastAsia="zh-CN"/>
        </w:rPr>
      </w:pPr>
      <w:r>
        <w:rPr>
          <w:rFonts w:hint="eastAsia" w:ascii="黑体" w:hAnsi="黑体" w:eastAsia="黑体" w:cs="黑体"/>
          <w:b w:val="0"/>
          <w:bCs w:val="0"/>
          <w:i w:val="0"/>
          <w:color w:val="auto"/>
          <w:kern w:val="0"/>
          <w:sz w:val="44"/>
          <w:szCs w:val="44"/>
          <w:highlight w:val="none"/>
          <w:u w:val="none"/>
          <w:shd w:val="clear" w:color="auto" w:fill="auto"/>
          <w:lang w:val="en-US" w:eastAsia="zh-CN"/>
        </w:rPr>
        <w:t xml:space="preserve"> </w:t>
      </w:r>
    </w:p>
    <w:tbl>
      <w:tblPr>
        <w:tblStyle w:val="3"/>
        <w:tblW w:w="154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44"/>
        <w:gridCol w:w="1847"/>
        <w:gridCol w:w="3300"/>
        <w:gridCol w:w="1059"/>
        <w:gridCol w:w="1485"/>
        <w:gridCol w:w="3323"/>
        <w:gridCol w:w="1646"/>
        <w:gridCol w:w="1646"/>
      </w:tblGrid>
      <w:tr w14:paraId="7BD2B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11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CA64A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序号</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5A938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项目名称</w:t>
            </w:r>
          </w:p>
        </w:tc>
        <w:tc>
          <w:tcPr>
            <w:tcW w:w="33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1D863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实施依据</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495D7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职权</w:t>
            </w:r>
          </w:p>
          <w:p w14:paraId="16192A6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类别</w:t>
            </w:r>
          </w:p>
        </w:tc>
        <w:tc>
          <w:tcPr>
            <w:tcW w:w="14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1A65D3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办理环节</w:t>
            </w:r>
          </w:p>
        </w:tc>
        <w:tc>
          <w:tcPr>
            <w:tcW w:w="332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B7D6AE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责任事项</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9F3017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追责情形</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3A111D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责任科室</w:t>
            </w:r>
          </w:p>
        </w:tc>
      </w:tr>
      <w:tr w14:paraId="43DE0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41" w:hRule="atLeast"/>
          <w:jc w:val="center"/>
        </w:trPr>
        <w:tc>
          <w:tcPr>
            <w:tcW w:w="114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93F173F">
            <w:pPr>
              <w:keepNext w:val="0"/>
              <w:keepLines w:val="0"/>
              <w:pageBreakBefore w:val="0"/>
              <w:kinsoku/>
              <w:wordWrap/>
              <w:topLinePunct w:val="0"/>
              <w:autoSpaceDE/>
              <w:autoSpaceDN/>
              <w:bidi w:val="0"/>
              <w:adjustRightInd/>
              <w:snapToGrid/>
              <w:spacing w:before="0" w:beforeLines="0" w:after="0" w:afterLines="0" w:line="240" w:lineRule="auto"/>
              <w:ind w:left="0" w:leftChars="0" w:right="0" w:rightChars="0" w:firstLine="0" w:firstLineChars="0"/>
              <w:jc w:val="center"/>
              <w:outlineLvl w:val="9"/>
              <w:rPr>
                <w:rFonts w:hint="eastAsia"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i w:val="0"/>
                <w:caps w:val="0"/>
                <w:color w:val="auto"/>
                <w:spacing w:val="0"/>
                <w:sz w:val="20"/>
                <w:szCs w:val="20"/>
                <w:highlight w:val="none"/>
                <w:shd w:val="clear" w:color="auto" w:fill="auto"/>
                <w:lang w:val="en-US" w:eastAsia="zh-CN"/>
              </w:rPr>
              <w:t>3</w:t>
            </w:r>
          </w:p>
        </w:tc>
        <w:tc>
          <w:tcPr>
            <w:tcW w:w="1847"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21B9735">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i w:val="0"/>
                <w:caps w:val="0"/>
                <w:color w:val="auto"/>
                <w:spacing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bidi="ar"/>
              </w:rPr>
              <w:t>损坏、移动、涂改公路附属设施或者损坏、挪动建筑控制区的标桩、界桩，可能危及公路安全的处罚</w:t>
            </w:r>
            <w:r>
              <w:rPr>
                <w:rFonts w:hint="eastAsia" w:ascii="宋体" w:hAnsi="宋体" w:eastAsia="宋体" w:cs="宋体"/>
                <w:color w:val="auto"/>
                <w:kern w:val="0"/>
                <w:sz w:val="20"/>
                <w:szCs w:val="20"/>
                <w:highlight w:val="none"/>
                <w:shd w:val="clear" w:color="auto" w:fill="auto"/>
                <w:lang w:eastAsia="zh-CN" w:bidi="ar"/>
              </w:rPr>
              <w:t>（</w:t>
            </w:r>
            <w:r>
              <w:rPr>
                <w:rFonts w:hint="eastAsia" w:ascii="宋体" w:hAnsi="宋体" w:eastAsia="宋体" w:cs="宋体"/>
                <w:color w:val="auto"/>
                <w:kern w:val="0"/>
                <w:sz w:val="20"/>
                <w:szCs w:val="20"/>
                <w:highlight w:val="none"/>
                <w:shd w:val="clear" w:color="auto" w:fill="auto"/>
                <w:lang w:val="en-US" w:eastAsia="zh-CN" w:bidi="ar"/>
              </w:rPr>
              <w:t>乡道、村道</w:t>
            </w:r>
            <w:r>
              <w:rPr>
                <w:rFonts w:hint="eastAsia" w:ascii="宋体" w:hAnsi="宋体" w:eastAsia="宋体" w:cs="宋体"/>
                <w:color w:val="auto"/>
                <w:kern w:val="0"/>
                <w:sz w:val="20"/>
                <w:szCs w:val="20"/>
                <w:highlight w:val="none"/>
                <w:shd w:val="clear" w:color="auto" w:fill="auto"/>
                <w:lang w:eastAsia="zh-CN" w:bidi="ar"/>
              </w:rPr>
              <w:t>）</w:t>
            </w:r>
          </w:p>
        </w:tc>
        <w:tc>
          <w:tcPr>
            <w:tcW w:w="3300" w:type="dxa"/>
            <w:vMerge w:val="restart"/>
            <w:tcBorders>
              <w:top w:val="single" w:color="000000" w:sz="4" w:space="0"/>
              <w:left w:val="single" w:color="000000" w:sz="4" w:space="0"/>
              <w:right w:val="nil"/>
            </w:tcBorders>
            <w:tcMar>
              <w:top w:w="15" w:type="dxa"/>
              <w:left w:w="15" w:type="dxa"/>
              <w:right w:w="15" w:type="dxa"/>
            </w:tcMar>
            <w:vAlign w:val="center"/>
          </w:tcPr>
          <w:p w14:paraId="423499D4">
            <w:pPr>
              <w:keepNext w:val="0"/>
              <w:keepLines w:val="0"/>
              <w:pageBreakBefore w:val="0"/>
              <w:widowControl w:val="0"/>
              <w:kinsoku/>
              <w:wordWrap/>
              <w:overflowPunct w:val="0"/>
              <w:topLinePunct w:val="0"/>
              <w:autoSpaceDE/>
              <w:bidi w:val="0"/>
              <w:snapToGrid w:val="0"/>
              <w:spacing w:line="240" w:lineRule="auto"/>
              <w:ind w:left="0" w:firstLine="0" w:firstLineChars="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中华人民共和国公路法》（2017年主席令第81号）第七十六条：“有下列违法行为之一的，由交通主管部门责令停止违法行为，可以处三万元以下的罚款：……（六）违反本法第五十二条、第五十六条规定，损坏、移动、涂改公路附属设施或者损坏、挪动建筑控制区的标桩、界桩，可能危及公路安全的。”</w:t>
            </w:r>
          </w:p>
          <w:p w14:paraId="62F69C07">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i w:val="0"/>
                <w:caps w:val="0"/>
                <w:color w:val="auto"/>
                <w:spacing w:val="0"/>
                <w:sz w:val="20"/>
                <w:szCs w:val="20"/>
                <w:highlight w:val="none"/>
                <w:shd w:val="clear" w:color="auto" w:fill="auto"/>
              </w:rPr>
            </w:pPr>
            <w:r>
              <w:rPr>
                <w:rFonts w:hint="eastAsia" w:ascii="宋体" w:hAnsi="宋体" w:eastAsia="宋体" w:cs="宋体"/>
                <w:color w:val="auto"/>
                <w:sz w:val="20"/>
                <w:szCs w:val="20"/>
                <w:highlight w:val="none"/>
                <w:shd w:val="clear" w:color="auto" w:fill="auto"/>
              </w:rPr>
              <w:t>《公路安全保护条例》（国务院令第593号）第六十条：“违反本条例的规定，有下列行为之一的，由公路管理机构责令改正，可以处3万元以下的罚款：（一）损坏、擅自移动、涂改、遮挡公路附属设施或者利用公路附属设施架设管道、悬挂物品，可能危及公路安全的。”</w:t>
            </w:r>
          </w:p>
        </w:tc>
        <w:tc>
          <w:tcPr>
            <w:tcW w:w="1059" w:type="dxa"/>
            <w:vMerge w:val="restart"/>
            <w:tcBorders>
              <w:top w:val="single" w:color="000000" w:sz="4" w:space="0"/>
              <w:left w:val="single" w:color="000000" w:sz="4" w:space="0"/>
              <w:right w:val="single" w:color="auto" w:sz="4" w:space="0"/>
            </w:tcBorders>
            <w:tcMar>
              <w:top w:w="15" w:type="dxa"/>
              <w:left w:w="15" w:type="dxa"/>
              <w:right w:w="15" w:type="dxa"/>
            </w:tcMar>
            <w:vAlign w:val="center"/>
          </w:tcPr>
          <w:p w14:paraId="1FA24AFE">
            <w:pPr>
              <w:keepNext w:val="0"/>
              <w:keepLines w:val="0"/>
              <w:pageBreakBefore w:val="0"/>
              <w:widowControl/>
              <w:suppressLineNumbers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b w:val="0"/>
                <w:bCs w:val="0"/>
                <w:color w:val="auto"/>
                <w:sz w:val="20"/>
                <w:szCs w:val="20"/>
                <w:highlight w:val="none"/>
                <w:shd w:val="clear" w:color="auto" w:fill="auto"/>
                <w:lang w:eastAsia="zh-CN"/>
              </w:rPr>
              <w:t>行政处罚</w:t>
            </w: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63188B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35B7C7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7D867304">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424562AF">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r>
      <w:tr w14:paraId="7E5F2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71"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6492E39A">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2CC84C2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3300" w:type="dxa"/>
            <w:vMerge w:val="continue"/>
            <w:tcBorders>
              <w:left w:val="single" w:color="000000" w:sz="4" w:space="0"/>
              <w:right w:val="nil"/>
            </w:tcBorders>
            <w:tcMar>
              <w:top w:w="15" w:type="dxa"/>
              <w:left w:w="15" w:type="dxa"/>
              <w:right w:w="15" w:type="dxa"/>
            </w:tcMar>
            <w:vAlign w:val="center"/>
          </w:tcPr>
          <w:p w14:paraId="29294B1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215849B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B3102E6">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F69BBB0">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22B2794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25DA95B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54932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536E170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7609F5A8">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6506F1C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4544708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06B4FFD">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362A4A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385D8E72">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4EE08AEA">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667A4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031C398D">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10CC2922">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7284281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1EA60E0A">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BDFC65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14EEA8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258609AA">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6FEDBF2D">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40BDD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5A03AE1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0C19AB1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val="en-US" w:eastAsia="zh-CN"/>
              </w:rPr>
            </w:pPr>
            <w:r>
              <w:rPr>
                <w:rFonts w:hint="eastAsia" w:ascii="宋体" w:hAnsi="宋体" w:eastAsia="宋体" w:cs="宋体"/>
                <w:color w:val="auto"/>
                <w:sz w:val="20"/>
                <w:szCs w:val="20"/>
                <w:highlight w:val="none"/>
                <w:shd w:val="clear" w:color="auto" w:fill="auto"/>
                <w:lang w:val="en-US" w:eastAsia="zh-CN"/>
              </w:rPr>
              <w:t>调整情况：下放</w:t>
            </w:r>
          </w:p>
        </w:tc>
      </w:tr>
      <w:tr w14:paraId="55DAC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14:paraId="2815599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0D93A3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lang w:eastAsia="zh-CN"/>
              </w:rPr>
              <w:t>调整原因：根据《南阳市人民政府关于优化调整赋予乡镇（街道）行政处罚权的通知(宛政[2025]11号)文件要求</w:t>
            </w:r>
          </w:p>
        </w:tc>
      </w:tr>
    </w:tbl>
    <w:p w14:paraId="4FA3B19F">
      <w:pPr>
        <w:keepNext w:val="0"/>
        <w:keepLines w:val="0"/>
        <w:pageBreakBefore w:val="0"/>
        <w:widowControl w:val="0"/>
        <w:shd w:val="clear"/>
        <w:kinsoku/>
        <w:wordWrap/>
        <w:overflowPunct/>
        <w:topLinePunct w:val="0"/>
        <w:autoSpaceDE/>
        <w:autoSpaceDN w:val="0"/>
        <w:bidi w:val="0"/>
        <w:adjustRightInd/>
        <w:snapToGrid/>
        <w:spacing w:before="157" w:beforeLines="50" w:after="0" w:line="240" w:lineRule="auto"/>
        <w:ind w:left="0" w:leftChars="0" w:right="0" w:firstLine="0" w:firstLineChars="0"/>
        <w:jc w:val="center"/>
        <w:textAlignment w:val="center"/>
        <w:outlineLvl w:val="9"/>
        <w:rPr>
          <w:rFonts w:hint="eastAsia" w:ascii="黑体" w:hAnsi="黑体" w:eastAsia="黑体" w:cs="黑体"/>
          <w:b w:val="0"/>
          <w:bCs w:val="0"/>
          <w:i w:val="0"/>
          <w:color w:val="auto"/>
          <w:kern w:val="0"/>
          <w:sz w:val="44"/>
          <w:szCs w:val="44"/>
          <w:highlight w:val="none"/>
          <w:u w:val="none"/>
          <w:shd w:val="clear" w:color="auto" w:fill="auto"/>
          <w:lang w:val="en-US" w:eastAsia="zh-CN"/>
        </w:rPr>
      </w:pPr>
    </w:p>
    <w:tbl>
      <w:tblPr>
        <w:tblStyle w:val="3"/>
        <w:tblW w:w="154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44"/>
        <w:gridCol w:w="1847"/>
        <w:gridCol w:w="3300"/>
        <w:gridCol w:w="1059"/>
        <w:gridCol w:w="1485"/>
        <w:gridCol w:w="3323"/>
        <w:gridCol w:w="1646"/>
        <w:gridCol w:w="1646"/>
      </w:tblGrid>
      <w:tr w14:paraId="63466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11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3DC2E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黑体" w:hAnsi="黑体" w:eastAsia="黑体" w:cs="黑体"/>
                <w:b w:val="0"/>
                <w:bCs w:val="0"/>
                <w:i w:val="0"/>
                <w:color w:val="auto"/>
                <w:kern w:val="0"/>
                <w:sz w:val="44"/>
                <w:szCs w:val="44"/>
                <w:highlight w:val="none"/>
                <w:u w:val="none"/>
                <w:shd w:val="clear" w:color="auto" w:fill="auto"/>
                <w:lang w:val="en-US" w:eastAsia="zh-CN"/>
              </w:rPr>
              <w:t xml:space="preserve"> </w:t>
            </w:r>
            <w:r>
              <w:rPr>
                <w:rFonts w:hint="eastAsia" w:ascii="宋体" w:hAnsi="宋体" w:eastAsia="宋体" w:cs="宋体"/>
                <w:b/>
                <w:bCs/>
                <w:i w:val="0"/>
                <w:color w:val="auto"/>
                <w:kern w:val="0"/>
                <w:sz w:val="20"/>
                <w:szCs w:val="20"/>
                <w:highlight w:val="none"/>
                <w:u w:val="none"/>
                <w:shd w:val="clear" w:color="auto" w:fill="auto"/>
                <w:lang w:val="en-US" w:eastAsia="zh-CN"/>
              </w:rPr>
              <w:t>序号</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88610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项目名称</w:t>
            </w:r>
          </w:p>
        </w:tc>
        <w:tc>
          <w:tcPr>
            <w:tcW w:w="33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0C924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实施依据</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9DE3E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职权</w:t>
            </w:r>
          </w:p>
          <w:p w14:paraId="17C4046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类别</w:t>
            </w:r>
          </w:p>
        </w:tc>
        <w:tc>
          <w:tcPr>
            <w:tcW w:w="14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14916E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办理环节</w:t>
            </w:r>
          </w:p>
        </w:tc>
        <w:tc>
          <w:tcPr>
            <w:tcW w:w="332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7DC8AE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责任事项</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C55E52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追责情形</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EC09D4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责任科室</w:t>
            </w:r>
          </w:p>
        </w:tc>
      </w:tr>
      <w:tr w14:paraId="43FC8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41" w:hRule="atLeast"/>
          <w:jc w:val="center"/>
        </w:trPr>
        <w:tc>
          <w:tcPr>
            <w:tcW w:w="114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2C92EDD">
            <w:pPr>
              <w:keepNext w:val="0"/>
              <w:keepLines w:val="0"/>
              <w:pageBreakBefore w:val="0"/>
              <w:kinsoku/>
              <w:wordWrap/>
              <w:topLinePunct w:val="0"/>
              <w:autoSpaceDE/>
              <w:autoSpaceDN/>
              <w:bidi w:val="0"/>
              <w:adjustRightInd/>
              <w:snapToGrid/>
              <w:spacing w:before="0" w:beforeLines="0" w:after="0" w:afterLines="0" w:line="240" w:lineRule="auto"/>
              <w:ind w:left="0" w:leftChars="0" w:right="0" w:rightChars="0" w:firstLine="0" w:firstLineChars="0"/>
              <w:jc w:val="center"/>
              <w:outlineLvl w:val="9"/>
              <w:rPr>
                <w:rFonts w:hint="eastAsia"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i w:val="0"/>
                <w:caps w:val="0"/>
                <w:color w:val="auto"/>
                <w:spacing w:val="0"/>
                <w:sz w:val="20"/>
                <w:szCs w:val="20"/>
                <w:highlight w:val="none"/>
                <w:shd w:val="clear" w:color="auto" w:fill="auto"/>
                <w:lang w:val="en-US" w:eastAsia="zh-CN"/>
              </w:rPr>
              <w:t>4</w:t>
            </w:r>
          </w:p>
        </w:tc>
        <w:tc>
          <w:tcPr>
            <w:tcW w:w="1847"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3727CF2">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i w:val="0"/>
                <w:caps w:val="0"/>
                <w:color w:val="auto"/>
                <w:spacing w:val="0"/>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rPr>
              <w:t>在公路上及公路用地范围内摆摊设点、堆放物品、倾倒垃圾、设置障碍、挖沟引水、利用公路边沟排放污物或者进行其他损坏、污染公路和影响公路畅通的活动造成公路路面损坏、污染或者影响公路畅通或者机动车制造厂和其他单位将公路作为检验机动车制动性能的试车场地的处罚</w:t>
            </w:r>
            <w:r>
              <w:rPr>
                <w:rFonts w:hint="eastAsia" w:ascii="宋体" w:hAnsi="宋体" w:eastAsia="宋体" w:cs="宋体"/>
                <w:color w:val="auto"/>
                <w:sz w:val="20"/>
                <w:szCs w:val="20"/>
                <w:highlight w:val="none"/>
                <w:shd w:val="clear" w:color="auto" w:fill="auto"/>
                <w:lang w:eastAsia="zh-CN"/>
              </w:rPr>
              <w:t>（</w:t>
            </w:r>
            <w:r>
              <w:rPr>
                <w:rFonts w:hint="eastAsia" w:ascii="宋体" w:hAnsi="宋体" w:eastAsia="宋体" w:cs="宋体"/>
                <w:color w:val="auto"/>
                <w:sz w:val="20"/>
                <w:szCs w:val="20"/>
                <w:highlight w:val="none"/>
                <w:shd w:val="clear" w:color="auto" w:fill="auto"/>
                <w:lang w:val="en-US" w:eastAsia="zh-CN"/>
              </w:rPr>
              <w:t>乡道、村道</w:t>
            </w:r>
            <w:r>
              <w:rPr>
                <w:rFonts w:hint="eastAsia" w:ascii="宋体" w:hAnsi="宋体" w:eastAsia="宋体" w:cs="宋体"/>
                <w:color w:val="auto"/>
                <w:sz w:val="20"/>
                <w:szCs w:val="20"/>
                <w:highlight w:val="none"/>
                <w:shd w:val="clear" w:color="auto" w:fill="auto"/>
                <w:lang w:eastAsia="zh-CN"/>
              </w:rPr>
              <w:t>）</w:t>
            </w:r>
          </w:p>
        </w:tc>
        <w:tc>
          <w:tcPr>
            <w:tcW w:w="3300" w:type="dxa"/>
            <w:vMerge w:val="restart"/>
            <w:tcBorders>
              <w:top w:val="single" w:color="000000" w:sz="4" w:space="0"/>
              <w:left w:val="single" w:color="000000" w:sz="4" w:space="0"/>
              <w:right w:val="nil"/>
            </w:tcBorders>
            <w:tcMar>
              <w:top w:w="15" w:type="dxa"/>
              <w:left w:w="15" w:type="dxa"/>
              <w:right w:w="15" w:type="dxa"/>
            </w:tcMar>
            <w:vAlign w:val="center"/>
          </w:tcPr>
          <w:p w14:paraId="437FCB05">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i w:val="0"/>
                <w:caps w:val="0"/>
                <w:color w:val="auto"/>
                <w:spacing w:val="0"/>
                <w:sz w:val="20"/>
                <w:szCs w:val="20"/>
                <w:highlight w:val="none"/>
                <w:shd w:val="clear" w:color="auto" w:fill="auto"/>
              </w:rPr>
            </w:pPr>
            <w:r>
              <w:rPr>
                <w:rFonts w:hint="eastAsia" w:ascii="宋体" w:hAnsi="宋体" w:eastAsia="宋体" w:cs="宋体"/>
                <w:color w:val="auto"/>
                <w:sz w:val="20"/>
                <w:szCs w:val="20"/>
                <w:highlight w:val="none"/>
                <w:shd w:val="clear" w:color="auto" w:fill="auto"/>
              </w:rPr>
              <w:t>《中华人民共和国公路法》（2017年主席令第81号）第七十七条： “违反本法第四十六条的规定，造成公路路面损坏、污染或者影响公路畅通的，或者违反本法第五十一条规定，将公路作为试车场地的，由交通主管部门责令停止违法行为，可以处五千元以下的罚款。”</w:t>
            </w:r>
          </w:p>
        </w:tc>
        <w:tc>
          <w:tcPr>
            <w:tcW w:w="1059" w:type="dxa"/>
            <w:vMerge w:val="restart"/>
            <w:tcBorders>
              <w:top w:val="single" w:color="000000" w:sz="4" w:space="0"/>
              <w:left w:val="single" w:color="000000" w:sz="4" w:space="0"/>
              <w:right w:val="single" w:color="auto" w:sz="4" w:space="0"/>
            </w:tcBorders>
            <w:tcMar>
              <w:top w:w="15" w:type="dxa"/>
              <w:left w:w="15" w:type="dxa"/>
              <w:right w:w="15" w:type="dxa"/>
            </w:tcMar>
            <w:vAlign w:val="center"/>
          </w:tcPr>
          <w:p w14:paraId="0C657414">
            <w:pPr>
              <w:keepNext w:val="0"/>
              <w:keepLines w:val="0"/>
              <w:pageBreakBefore w:val="0"/>
              <w:widowControl/>
              <w:suppressLineNumbers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b w:val="0"/>
                <w:bCs w:val="0"/>
                <w:color w:val="auto"/>
                <w:sz w:val="20"/>
                <w:szCs w:val="20"/>
                <w:highlight w:val="none"/>
                <w:shd w:val="clear" w:color="auto" w:fill="auto"/>
                <w:lang w:eastAsia="zh-CN"/>
              </w:rPr>
              <w:t>行政处罚</w:t>
            </w: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A002A5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8A6C293">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764CCB60">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59DBF1C3">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r>
      <w:tr w14:paraId="0C6BE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71"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5233BB80">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030E3F78">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3300" w:type="dxa"/>
            <w:vMerge w:val="continue"/>
            <w:tcBorders>
              <w:left w:val="single" w:color="000000" w:sz="4" w:space="0"/>
              <w:right w:val="nil"/>
            </w:tcBorders>
            <w:tcMar>
              <w:top w:w="15" w:type="dxa"/>
              <w:left w:w="15" w:type="dxa"/>
              <w:right w:w="15" w:type="dxa"/>
            </w:tcMar>
            <w:vAlign w:val="center"/>
          </w:tcPr>
          <w:p w14:paraId="234D3573">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122984B4">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1856E5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F2B574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35F92532">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6B8CD686">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6BEF8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04DC7FA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6989A0EF">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7028B5D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0F16968F">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BD654F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B8905C8">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4E16A03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1802B4F3">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72ADC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4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23BD5642">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12704B4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45DE0EDD">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1CDB3DCF">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52D09E8">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AC6C2A8">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5DE907A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32BCD0F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52E88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00BF1E4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327DAF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val="en-US" w:eastAsia="zh-CN"/>
              </w:rPr>
            </w:pPr>
            <w:r>
              <w:rPr>
                <w:rFonts w:hint="eastAsia" w:ascii="宋体" w:hAnsi="宋体" w:eastAsia="宋体" w:cs="宋体"/>
                <w:color w:val="auto"/>
                <w:sz w:val="20"/>
                <w:szCs w:val="20"/>
                <w:highlight w:val="none"/>
                <w:shd w:val="clear" w:color="auto" w:fill="auto"/>
                <w:lang w:val="en-US" w:eastAsia="zh-CN"/>
              </w:rPr>
              <w:t>调整情况：下放</w:t>
            </w:r>
          </w:p>
        </w:tc>
      </w:tr>
      <w:tr w14:paraId="0CB4D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14:paraId="62AB20E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0C7A6F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lang w:eastAsia="zh-CN"/>
              </w:rPr>
              <w:t>调整原因：根据《南阳市人民政府关于优化调整赋予乡镇（街道）行政处罚权的通知(宛政[2025]11号)文件要求</w:t>
            </w:r>
          </w:p>
        </w:tc>
      </w:tr>
    </w:tbl>
    <w:p w14:paraId="648AA4A4">
      <w:pPr>
        <w:keepNext w:val="0"/>
        <w:keepLines w:val="0"/>
        <w:pageBreakBefore w:val="0"/>
        <w:widowControl w:val="0"/>
        <w:shd w:val="clear"/>
        <w:kinsoku/>
        <w:wordWrap/>
        <w:overflowPunct/>
        <w:topLinePunct w:val="0"/>
        <w:autoSpaceDE/>
        <w:autoSpaceDN w:val="0"/>
        <w:bidi w:val="0"/>
        <w:adjustRightInd/>
        <w:snapToGrid/>
        <w:spacing w:before="157" w:beforeLines="50" w:after="0" w:line="240" w:lineRule="auto"/>
        <w:ind w:left="0" w:leftChars="0" w:right="0" w:firstLine="0" w:firstLineChars="0"/>
        <w:jc w:val="center"/>
        <w:textAlignment w:val="center"/>
        <w:outlineLvl w:val="9"/>
        <w:rPr>
          <w:rFonts w:hint="eastAsia" w:ascii="黑体" w:hAnsi="黑体" w:eastAsia="黑体" w:cs="黑体"/>
          <w:b w:val="0"/>
          <w:bCs w:val="0"/>
          <w:i w:val="0"/>
          <w:color w:val="auto"/>
          <w:kern w:val="0"/>
          <w:sz w:val="44"/>
          <w:szCs w:val="44"/>
          <w:highlight w:val="none"/>
          <w:u w:val="none"/>
          <w:shd w:val="clear" w:color="auto" w:fill="auto"/>
          <w:lang w:val="en-US" w:eastAsia="zh-CN"/>
        </w:rPr>
      </w:pPr>
    </w:p>
    <w:tbl>
      <w:tblPr>
        <w:tblStyle w:val="3"/>
        <w:tblW w:w="154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44"/>
        <w:gridCol w:w="1847"/>
        <w:gridCol w:w="3300"/>
        <w:gridCol w:w="1059"/>
        <w:gridCol w:w="1485"/>
        <w:gridCol w:w="3323"/>
        <w:gridCol w:w="1646"/>
        <w:gridCol w:w="1646"/>
      </w:tblGrid>
      <w:tr w14:paraId="31F28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11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3358D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黑体" w:hAnsi="黑体" w:eastAsia="黑体" w:cs="黑体"/>
                <w:b w:val="0"/>
                <w:bCs w:val="0"/>
                <w:i w:val="0"/>
                <w:color w:val="auto"/>
                <w:kern w:val="0"/>
                <w:sz w:val="44"/>
                <w:szCs w:val="44"/>
                <w:highlight w:val="none"/>
                <w:u w:val="none"/>
                <w:shd w:val="clear" w:color="auto" w:fill="auto"/>
                <w:lang w:val="en-US" w:eastAsia="zh-CN"/>
              </w:rPr>
              <w:t xml:space="preserve"> </w:t>
            </w:r>
            <w:r>
              <w:rPr>
                <w:rFonts w:hint="eastAsia" w:ascii="宋体" w:hAnsi="宋体" w:eastAsia="宋体" w:cs="宋体"/>
                <w:b/>
                <w:bCs/>
                <w:i w:val="0"/>
                <w:color w:val="auto"/>
                <w:kern w:val="0"/>
                <w:sz w:val="20"/>
                <w:szCs w:val="20"/>
                <w:highlight w:val="none"/>
                <w:u w:val="none"/>
                <w:shd w:val="clear" w:color="auto" w:fill="auto"/>
                <w:lang w:val="en-US" w:eastAsia="zh-CN"/>
              </w:rPr>
              <w:t>序号</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F6646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项目名称</w:t>
            </w:r>
          </w:p>
        </w:tc>
        <w:tc>
          <w:tcPr>
            <w:tcW w:w="33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12796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实施依据</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EAA45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职权</w:t>
            </w:r>
          </w:p>
          <w:p w14:paraId="78513F2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类别</w:t>
            </w:r>
          </w:p>
        </w:tc>
        <w:tc>
          <w:tcPr>
            <w:tcW w:w="14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2DC6F2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办理环节</w:t>
            </w:r>
          </w:p>
        </w:tc>
        <w:tc>
          <w:tcPr>
            <w:tcW w:w="332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ADE36E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责任事项</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C1C866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追责情形</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5074B7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责任科室</w:t>
            </w:r>
          </w:p>
        </w:tc>
      </w:tr>
      <w:tr w14:paraId="65F67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41" w:hRule="atLeast"/>
          <w:jc w:val="center"/>
        </w:trPr>
        <w:tc>
          <w:tcPr>
            <w:tcW w:w="114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DD0BD96">
            <w:pPr>
              <w:keepNext w:val="0"/>
              <w:keepLines w:val="0"/>
              <w:pageBreakBefore w:val="0"/>
              <w:kinsoku/>
              <w:wordWrap/>
              <w:topLinePunct w:val="0"/>
              <w:autoSpaceDE/>
              <w:autoSpaceDN/>
              <w:bidi w:val="0"/>
              <w:adjustRightInd/>
              <w:snapToGrid/>
              <w:spacing w:before="0" w:beforeLines="0" w:after="0" w:afterLines="0" w:line="240" w:lineRule="auto"/>
              <w:ind w:left="0" w:leftChars="0" w:right="0" w:rightChars="0" w:firstLine="0" w:firstLineChars="0"/>
              <w:jc w:val="center"/>
              <w:outlineLvl w:val="9"/>
              <w:rPr>
                <w:rFonts w:hint="eastAsia"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i w:val="0"/>
                <w:caps w:val="0"/>
                <w:color w:val="auto"/>
                <w:spacing w:val="0"/>
                <w:sz w:val="20"/>
                <w:szCs w:val="20"/>
                <w:highlight w:val="none"/>
                <w:shd w:val="clear" w:color="auto" w:fill="auto"/>
                <w:lang w:val="en-US" w:eastAsia="zh-CN"/>
              </w:rPr>
              <w:t>5</w:t>
            </w:r>
          </w:p>
        </w:tc>
        <w:tc>
          <w:tcPr>
            <w:tcW w:w="1847"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2CCB801">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i w:val="0"/>
                <w:caps w:val="0"/>
                <w:color w:val="auto"/>
                <w:spacing w:val="0"/>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rPr>
              <w:t>造成公路损坏，责任者未及时报告公路管理机构的处罚</w:t>
            </w:r>
            <w:r>
              <w:rPr>
                <w:rFonts w:hint="eastAsia" w:ascii="宋体" w:hAnsi="宋体" w:eastAsia="宋体" w:cs="宋体"/>
                <w:color w:val="auto"/>
                <w:sz w:val="20"/>
                <w:szCs w:val="20"/>
                <w:highlight w:val="none"/>
                <w:shd w:val="clear" w:color="auto" w:fill="auto"/>
                <w:lang w:eastAsia="zh-CN"/>
              </w:rPr>
              <w:t>（</w:t>
            </w:r>
            <w:r>
              <w:rPr>
                <w:rFonts w:hint="eastAsia" w:ascii="宋体" w:hAnsi="宋体" w:eastAsia="宋体" w:cs="宋体"/>
                <w:color w:val="auto"/>
                <w:sz w:val="20"/>
                <w:szCs w:val="20"/>
                <w:highlight w:val="none"/>
                <w:shd w:val="clear" w:color="auto" w:fill="auto"/>
                <w:lang w:val="en-US" w:eastAsia="zh-CN"/>
              </w:rPr>
              <w:t>乡道</w:t>
            </w:r>
            <w:r>
              <w:rPr>
                <w:rFonts w:hint="eastAsia" w:ascii="宋体" w:hAnsi="宋体" w:eastAsia="宋体" w:cs="宋体"/>
                <w:color w:val="auto"/>
                <w:sz w:val="20"/>
                <w:szCs w:val="20"/>
                <w:highlight w:val="none"/>
                <w:shd w:val="clear" w:color="auto" w:fill="auto"/>
                <w:lang w:eastAsia="zh-CN"/>
              </w:rPr>
              <w:t>）</w:t>
            </w:r>
          </w:p>
        </w:tc>
        <w:tc>
          <w:tcPr>
            <w:tcW w:w="3300" w:type="dxa"/>
            <w:vMerge w:val="restart"/>
            <w:tcBorders>
              <w:top w:val="single" w:color="000000" w:sz="4" w:space="0"/>
              <w:left w:val="single" w:color="000000" w:sz="4" w:space="0"/>
              <w:right w:val="nil"/>
            </w:tcBorders>
            <w:tcMar>
              <w:top w:w="15" w:type="dxa"/>
              <w:left w:w="15" w:type="dxa"/>
              <w:right w:w="15" w:type="dxa"/>
            </w:tcMar>
            <w:vAlign w:val="center"/>
          </w:tcPr>
          <w:p w14:paraId="0584739B">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i w:val="0"/>
                <w:caps w:val="0"/>
                <w:color w:val="auto"/>
                <w:spacing w:val="0"/>
                <w:sz w:val="20"/>
                <w:szCs w:val="20"/>
                <w:highlight w:val="none"/>
                <w:shd w:val="clear" w:color="auto" w:fill="auto"/>
              </w:rPr>
            </w:pPr>
            <w:r>
              <w:rPr>
                <w:rFonts w:hint="eastAsia" w:ascii="宋体" w:hAnsi="宋体" w:eastAsia="宋体" w:cs="宋体"/>
                <w:color w:val="auto"/>
                <w:sz w:val="20"/>
                <w:szCs w:val="20"/>
                <w:highlight w:val="none"/>
                <w:shd w:val="clear" w:color="auto" w:fill="auto"/>
              </w:rPr>
              <w:t>《中华人民共和国公路法》（2017年主席令第81号）第七十八条： “违反本法第五十三条规定，造成公路损坏，未报告的，由交通主管部门处一千元以下的罚款。”</w:t>
            </w:r>
          </w:p>
        </w:tc>
        <w:tc>
          <w:tcPr>
            <w:tcW w:w="1059" w:type="dxa"/>
            <w:vMerge w:val="restart"/>
            <w:tcBorders>
              <w:top w:val="single" w:color="000000" w:sz="4" w:space="0"/>
              <w:left w:val="single" w:color="000000" w:sz="4" w:space="0"/>
              <w:right w:val="single" w:color="auto" w:sz="4" w:space="0"/>
            </w:tcBorders>
            <w:tcMar>
              <w:top w:w="15" w:type="dxa"/>
              <w:left w:w="15" w:type="dxa"/>
              <w:right w:w="15" w:type="dxa"/>
            </w:tcMar>
            <w:vAlign w:val="center"/>
          </w:tcPr>
          <w:p w14:paraId="4198BB70">
            <w:pPr>
              <w:keepNext w:val="0"/>
              <w:keepLines w:val="0"/>
              <w:pageBreakBefore w:val="0"/>
              <w:widowControl/>
              <w:suppressLineNumbers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b w:val="0"/>
                <w:bCs w:val="0"/>
                <w:color w:val="auto"/>
                <w:sz w:val="20"/>
                <w:szCs w:val="20"/>
                <w:highlight w:val="none"/>
                <w:shd w:val="clear" w:color="auto" w:fill="auto"/>
                <w:lang w:eastAsia="zh-CN"/>
              </w:rPr>
              <w:t>行政处罚</w:t>
            </w: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2E4D7B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388B60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30083F2F">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374BAEA2">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r>
      <w:tr w14:paraId="69C3E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71"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020238EA">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3F102A44">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3300" w:type="dxa"/>
            <w:vMerge w:val="continue"/>
            <w:tcBorders>
              <w:left w:val="single" w:color="000000" w:sz="4" w:space="0"/>
              <w:right w:val="nil"/>
            </w:tcBorders>
            <w:tcMar>
              <w:top w:w="15" w:type="dxa"/>
              <w:left w:w="15" w:type="dxa"/>
              <w:right w:w="15" w:type="dxa"/>
            </w:tcMar>
            <w:vAlign w:val="center"/>
          </w:tcPr>
          <w:p w14:paraId="30FE790A">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613DD82D">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0BBD3A3">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D8DDF7D">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5AFC1DB6">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4BB6691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7CE0E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5A7FF998">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6BE65032">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00DCB2BA">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38255854">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3AFE76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D39FE6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55926D7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417E98ED">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464D6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106CE81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3909FD92">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214BA742">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1684E9F6">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E7F8D6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396E3C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2EFAB00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74696BC2">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0368C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25DF766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59825B4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val="en-US" w:eastAsia="zh-CN"/>
              </w:rPr>
            </w:pPr>
            <w:r>
              <w:rPr>
                <w:rFonts w:hint="eastAsia" w:ascii="宋体" w:hAnsi="宋体" w:eastAsia="宋体" w:cs="宋体"/>
                <w:color w:val="auto"/>
                <w:sz w:val="20"/>
                <w:szCs w:val="20"/>
                <w:highlight w:val="none"/>
                <w:shd w:val="clear" w:color="auto" w:fill="auto"/>
                <w:lang w:val="en-US" w:eastAsia="zh-CN"/>
              </w:rPr>
              <w:t>调整情况：下放</w:t>
            </w:r>
          </w:p>
        </w:tc>
      </w:tr>
      <w:tr w14:paraId="7FD42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14:paraId="457FAF7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0C002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lang w:eastAsia="zh-CN"/>
              </w:rPr>
              <w:t>调整原因：根据《南阳市人民政府关于优化调整赋予乡镇（街道）行政处罚权的通知(宛政[2025]11号)文件要求</w:t>
            </w:r>
          </w:p>
        </w:tc>
      </w:tr>
    </w:tbl>
    <w:p w14:paraId="565B2467">
      <w:pPr>
        <w:rPr>
          <w:color w:val="auto"/>
        </w:rPr>
      </w:pPr>
    </w:p>
    <w:p w14:paraId="54470AD7">
      <w:pPr>
        <w:keepNext w:val="0"/>
        <w:keepLines w:val="0"/>
        <w:pageBreakBefore w:val="0"/>
        <w:widowControl w:val="0"/>
        <w:shd w:val="clear"/>
        <w:kinsoku/>
        <w:wordWrap/>
        <w:overflowPunct/>
        <w:topLinePunct w:val="0"/>
        <w:autoSpaceDE/>
        <w:autoSpaceDN w:val="0"/>
        <w:bidi w:val="0"/>
        <w:adjustRightInd/>
        <w:snapToGrid/>
        <w:spacing w:before="157" w:beforeLines="50" w:after="0" w:line="240" w:lineRule="auto"/>
        <w:ind w:left="0" w:leftChars="0" w:right="0" w:firstLine="0" w:firstLineChars="0"/>
        <w:jc w:val="center"/>
        <w:textAlignment w:val="center"/>
        <w:outlineLvl w:val="9"/>
        <w:rPr>
          <w:rFonts w:hint="eastAsia" w:ascii="黑体" w:hAnsi="黑体" w:eastAsia="黑体" w:cs="黑体"/>
          <w:b w:val="0"/>
          <w:bCs w:val="0"/>
          <w:i w:val="0"/>
          <w:color w:val="auto"/>
          <w:kern w:val="0"/>
          <w:sz w:val="44"/>
          <w:szCs w:val="44"/>
          <w:highlight w:val="none"/>
          <w:u w:val="none"/>
          <w:shd w:val="clear" w:color="auto" w:fill="auto"/>
          <w:lang w:val="en-US" w:eastAsia="zh-CN"/>
        </w:rPr>
      </w:pPr>
    </w:p>
    <w:p w14:paraId="425C426E">
      <w:pPr>
        <w:keepNext w:val="0"/>
        <w:keepLines w:val="0"/>
        <w:pageBreakBefore w:val="0"/>
        <w:widowControl w:val="0"/>
        <w:shd w:val="clear"/>
        <w:kinsoku/>
        <w:wordWrap/>
        <w:overflowPunct/>
        <w:topLinePunct w:val="0"/>
        <w:autoSpaceDE/>
        <w:autoSpaceDN w:val="0"/>
        <w:bidi w:val="0"/>
        <w:adjustRightInd/>
        <w:snapToGrid/>
        <w:spacing w:before="157" w:beforeLines="50" w:after="0" w:line="240" w:lineRule="auto"/>
        <w:ind w:left="0" w:leftChars="0" w:right="0" w:firstLine="0" w:firstLineChars="0"/>
        <w:jc w:val="center"/>
        <w:textAlignment w:val="center"/>
        <w:outlineLvl w:val="9"/>
        <w:rPr>
          <w:rFonts w:hint="eastAsia" w:ascii="黑体" w:hAnsi="黑体" w:eastAsia="黑体" w:cs="黑体"/>
          <w:b w:val="0"/>
          <w:bCs w:val="0"/>
          <w:i w:val="0"/>
          <w:color w:val="auto"/>
          <w:kern w:val="0"/>
          <w:sz w:val="44"/>
          <w:szCs w:val="44"/>
          <w:highlight w:val="none"/>
          <w:u w:val="none"/>
          <w:shd w:val="clear" w:color="auto" w:fill="auto"/>
          <w:lang w:val="en-US" w:eastAsia="zh-CN"/>
        </w:rPr>
      </w:pPr>
    </w:p>
    <w:p w14:paraId="7F4D0D5F">
      <w:pPr>
        <w:keepNext w:val="0"/>
        <w:keepLines w:val="0"/>
        <w:pageBreakBefore w:val="0"/>
        <w:widowControl w:val="0"/>
        <w:shd w:val="clear"/>
        <w:kinsoku/>
        <w:wordWrap/>
        <w:overflowPunct/>
        <w:topLinePunct w:val="0"/>
        <w:autoSpaceDE/>
        <w:autoSpaceDN w:val="0"/>
        <w:bidi w:val="0"/>
        <w:adjustRightInd/>
        <w:snapToGrid/>
        <w:spacing w:before="157" w:beforeLines="50" w:after="0" w:line="240" w:lineRule="auto"/>
        <w:ind w:left="0" w:leftChars="0" w:right="0" w:firstLine="0" w:firstLineChars="0"/>
        <w:jc w:val="center"/>
        <w:textAlignment w:val="center"/>
        <w:outlineLvl w:val="9"/>
        <w:rPr>
          <w:rFonts w:hint="eastAsia" w:ascii="黑体" w:hAnsi="黑体" w:eastAsia="黑体" w:cs="黑体"/>
          <w:b w:val="0"/>
          <w:bCs w:val="0"/>
          <w:i w:val="0"/>
          <w:color w:val="auto"/>
          <w:kern w:val="0"/>
          <w:sz w:val="44"/>
          <w:szCs w:val="44"/>
          <w:highlight w:val="none"/>
          <w:u w:val="none"/>
          <w:shd w:val="clear" w:color="auto" w:fill="auto"/>
          <w:lang w:val="en-US" w:eastAsia="zh-CN"/>
        </w:rPr>
      </w:pPr>
      <w:r>
        <w:rPr>
          <w:rFonts w:hint="eastAsia" w:ascii="黑体" w:hAnsi="黑体" w:eastAsia="黑体" w:cs="黑体"/>
          <w:b w:val="0"/>
          <w:bCs w:val="0"/>
          <w:i w:val="0"/>
          <w:color w:val="auto"/>
          <w:kern w:val="0"/>
          <w:sz w:val="44"/>
          <w:szCs w:val="44"/>
          <w:highlight w:val="none"/>
          <w:u w:val="none"/>
          <w:shd w:val="clear" w:color="auto" w:fill="auto"/>
          <w:lang w:val="en-US" w:eastAsia="zh-CN"/>
        </w:rPr>
        <w:t xml:space="preserve"> </w:t>
      </w:r>
    </w:p>
    <w:tbl>
      <w:tblPr>
        <w:tblStyle w:val="3"/>
        <w:tblW w:w="154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44"/>
        <w:gridCol w:w="1847"/>
        <w:gridCol w:w="3300"/>
        <w:gridCol w:w="1059"/>
        <w:gridCol w:w="1485"/>
        <w:gridCol w:w="3323"/>
        <w:gridCol w:w="1646"/>
        <w:gridCol w:w="1646"/>
      </w:tblGrid>
      <w:tr w14:paraId="74BC7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11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03875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序号</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FBC59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项目名称</w:t>
            </w:r>
          </w:p>
        </w:tc>
        <w:tc>
          <w:tcPr>
            <w:tcW w:w="33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0CD18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实施依据</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CC356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职权</w:t>
            </w:r>
          </w:p>
          <w:p w14:paraId="5013EAA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类别</w:t>
            </w:r>
          </w:p>
        </w:tc>
        <w:tc>
          <w:tcPr>
            <w:tcW w:w="14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D4D159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办理环节</w:t>
            </w:r>
          </w:p>
        </w:tc>
        <w:tc>
          <w:tcPr>
            <w:tcW w:w="332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154ED6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责任事项</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59C9D9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追责情形</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F9B1A1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责任科室</w:t>
            </w:r>
          </w:p>
        </w:tc>
      </w:tr>
      <w:tr w14:paraId="0A93B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41" w:hRule="atLeast"/>
          <w:jc w:val="center"/>
        </w:trPr>
        <w:tc>
          <w:tcPr>
            <w:tcW w:w="114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C700636">
            <w:pPr>
              <w:keepNext w:val="0"/>
              <w:keepLines w:val="0"/>
              <w:pageBreakBefore w:val="0"/>
              <w:kinsoku/>
              <w:wordWrap/>
              <w:topLinePunct w:val="0"/>
              <w:autoSpaceDE/>
              <w:autoSpaceDN/>
              <w:bidi w:val="0"/>
              <w:adjustRightInd/>
              <w:snapToGrid/>
              <w:spacing w:before="0" w:beforeLines="0" w:after="0" w:afterLines="0" w:line="240" w:lineRule="auto"/>
              <w:ind w:left="0" w:leftChars="0" w:right="0" w:rightChars="0" w:firstLine="0" w:firstLineChars="0"/>
              <w:jc w:val="center"/>
              <w:outlineLvl w:val="9"/>
              <w:rPr>
                <w:rFonts w:hint="eastAsia"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i w:val="0"/>
                <w:caps w:val="0"/>
                <w:color w:val="auto"/>
                <w:spacing w:val="0"/>
                <w:sz w:val="20"/>
                <w:szCs w:val="20"/>
                <w:highlight w:val="none"/>
                <w:shd w:val="clear" w:color="auto" w:fill="auto"/>
                <w:lang w:val="en-US" w:eastAsia="zh-CN"/>
              </w:rPr>
              <w:t>6</w:t>
            </w:r>
          </w:p>
        </w:tc>
        <w:tc>
          <w:tcPr>
            <w:tcW w:w="1847"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AE5ACB5">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i w:val="0"/>
                <w:caps w:val="0"/>
                <w:color w:val="auto"/>
                <w:spacing w:val="0"/>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rPr>
              <w:t>未经批准在公路上增设平面交叉道口的处罚</w:t>
            </w:r>
            <w:r>
              <w:rPr>
                <w:rFonts w:hint="eastAsia" w:ascii="宋体" w:hAnsi="宋体" w:eastAsia="宋体" w:cs="宋体"/>
                <w:color w:val="auto"/>
                <w:sz w:val="20"/>
                <w:szCs w:val="20"/>
                <w:highlight w:val="none"/>
                <w:shd w:val="clear" w:color="auto" w:fill="auto"/>
                <w:lang w:eastAsia="zh-CN"/>
              </w:rPr>
              <w:t>（</w:t>
            </w:r>
            <w:r>
              <w:rPr>
                <w:rFonts w:hint="eastAsia" w:ascii="宋体" w:hAnsi="宋体" w:eastAsia="宋体" w:cs="宋体"/>
                <w:color w:val="auto"/>
                <w:sz w:val="20"/>
                <w:szCs w:val="20"/>
                <w:highlight w:val="none"/>
                <w:shd w:val="clear" w:color="auto" w:fill="auto"/>
                <w:lang w:val="en-US" w:eastAsia="zh-CN"/>
              </w:rPr>
              <w:t>乡道</w:t>
            </w:r>
            <w:r>
              <w:rPr>
                <w:rFonts w:hint="eastAsia" w:ascii="宋体" w:hAnsi="宋体" w:eastAsia="宋体" w:cs="宋体"/>
                <w:color w:val="auto"/>
                <w:sz w:val="20"/>
                <w:szCs w:val="20"/>
                <w:highlight w:val="none"/>
                <w:shd w:val="clear" w:color="auto" w:fill="auto"/>
                <w:lang w:eastAsia="zh-CN"/>
              </w:rPr>
              <w:t>）</w:t>
            </w:r>
            <w:bookmarkStart w:id="3" w:name="_GoBack"/>
            <w:bookmarkEnd w:id="3"/>
          </w:p>
        </w:tc>
        <w:tc>
          <w:tcPr>
            <w:tcW w:w="3300" w:type="dxa"/>
            <w:vMerge w:val="restart"/>
            <w:tcBorders>
              <w:top w:val="single" w:color="000000" w:sz="4" w:space="0"/>
              <w:left w:val="single" w:color="000000" w:sz="4" w:space="0"/>
              <w:right w:val="nil"/>
            </w:tcBorders>
            <w:tcMar>
              <w:top w:w="15" w:type="dxa"/>
              <w:left w:w="15" w:type="dxa"/>
              <w:right w:w="15" w:type="dxa"/>
            </w:tcMar>
            <w:vAlign w:val="center"/>
          </w:tcPr>
          <w:p w14:paraId="21372C46">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i w:val="0"/>
                <w:caps w:val="0"/>
                <w:color w:val="auto"/>
                <w:spacing w:val="0"/>
                <w:sz w:val="20"/>
                <w:szCs w:val="20"/>
                <w:highlight w:val="none"/>
                <w:shd w:val="clear" w:color="auto" w:fill="auto"/>
              </w:rPr>
            </w:pPr>
            <w:r>
              <w:rPr>
                <w:rFonts w:hint="eastAsia" w:ascii="宋体" w:hAnsi="宋体" w:eastAsia="宋体" w:cs="宋体"/>
                <w:color w:val="auto"/>
                <w:sz w:val="20"/>
                <w:szCs w:val="20"/>
                <w:highlight w:val="none"/>
                <w:shd w:val="clear" w:color="auto" w:fill="auto"/>
              </w:rPr>
              <w:t>《中华人民共和国公路法》第八十条： “ 违反本法第五十五条规定，未经批准在公路上增设平面交叉道口的，由交通主管部门责令恢复原状，处五万元以下的罚款。”</w:t>
            </w:r>
          </w:p>
        </w:tc>
        <w:tc>
          <w:tcPr>
            <w:tcW w:w="1059" w:type="dxa"/>
            <w:vMerge w:val="restart"/>
            <w:tcBorders>
              <w:top w:val="single" w:color="000000" w:sz="4" w:space="0"/>
              <w:left w:val="single" w:color="000000" w:sz="4" w:space="0"/>
              <w:right w:val="single" w:color="auto" w:sz="4" w:space="0"/>
            </w:tcBorders>
            <w:tcMar>
              <w:top w:w="15" w:type="dxa"/>
              <w:left w:w="15" w:type="dxa"/>
              <w:right w:w="15" w:type="dxa"/>
            </w:tcMar>
            <w:vAlign w:val="center"/>
          </w:tcPr>
          <w:p w14:paraId="65CC1186">
            <w:pPr>
              <w:keepNext w:val="0"/>
              <w:keepLines w:val="0"/>
              <w:pageBreakBefore w:val="0"/>
              <w:widowControl/>
              <w:suppressLineNumbers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b w:val="0"/>
                <w:bCs w:val="0"/>
                <w:color w:val="auto"/>
                <w:sz w:val="20"/>
                <w:szCs w:val="20"/>
                <w:highlight w:val="none"/>
                <w:shd w:val="clear" w:color="auto" w:fill="auto"/>
                <w:lang w:eastAsia="zh-CN"/>
              </w:rPr>
              <w:t>行政处罚</w:t>
            </w: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49B776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61A2E66">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38C6A9E4">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0BE15D73">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r>
      <w:tr w14:paraId="530A1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71"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5DA5450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54010928">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3300" w:type="dxa"/>
            <w:vMerge w:val="continue"/>
            <w:tcBorders>
              <w:left w:val="single" w:color="000000" w:sz="4" w:space="0"/>
              <w:right w:val="nil"/>
            </w:tcBorders>
            <w:tcMar>
              <w:top w:w="15" w:type="dxa"/>
              <w:left w:w="15" w:type="dxa"/>
              <w:right w:w="15" w:type="dxa"/>
            </w:tcMar>
            <w:vAlign w:val="center"/>
          </w:tcPr>
          <w:p w14:paraId="79A70FCF">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2D4FF97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03FBD16">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A7296B8">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613BB44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0D72F25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4D007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3B78FA1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2C4DD214">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608D1218">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407A82E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83E995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035069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37BBF67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4F723EA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05DEE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32ED49F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7904A7B8">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0D31255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1F066E8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4D03DB3">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C8B20D0">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10DEEAB8">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61624F22">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153C4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36B4FC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564A3DB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val="en-US" w:eastAsia="zh-CN"/>
              </w:rPr>
            </w:pPr>
            <w:r>
              <w:rPr>
                <w:rFonts w:hint="eastAsia" w:ascii="宋体" w:hAnsi="宋体" w:eastAsia="宋体" w:cs="宋体"/>
                <w:color w:val="auto"/>
                <w:sz w:val="20"/>
                <w:szCs w:val="20"/>
                <w:highlight w:val="none"/>
                <w:shd w:val="clear" w:color="auto" w:fill="auto"/>
                <w:lang w:val="en-US" w:eastAsia="zh-CN"/>
              </w:rPr>
              <w:t>调整情况：下放</w:t>
            </w:r>
          </w:p>
        </w:tc>
      </w:tr>
      <w:tr w14:paraId="62C9A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14:paraId="6E677CB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B8F05B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lang w:eastAsia="zh-CN"/>
              </w:rPr>
              <w:t>调整原因：根据《南阳市人民政府关于优化调整赋予乡镇（街道）行政处罚权的通知(宛政[2025]11号)文件要求</w:t>
            </w:r>
          </w:p>
        </w:tc>
      </w:tr>
    </w:tbl>
    <w:p w14:paraId="5B5766AB">
      <w:pPr>
        <w:rPr>
          <w:color w:val="auto"/>
        </w:rPr>
      </w:pPr>
    </w:p>
    <w:p w14:paraId="510DA561">
      <w:pPr>
        <w:rPr>
          <w:color w:val="auto"/>
        </w:rPr>
      </w:pPr>
    </w:p>
    <w:tbl>
      <w:tblPr>
        <w:tblStyle w:val="3"/>
        <w:tblW w:w="154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44"/>
        <w:gridCol w:w="1847"/>
        <w:gridCol w:w="3300"/>
        <w:gridCol w:w="1059"/>
        <w:gridCol w:w="1485"/>
        <w:gridCol w:w="3323"/>
        <w:gridCol w:w="1646"/>
        <w:gridCol w:w="1646"/>
      </w:tblGrid>
      <w:tr w14:paraId="49546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11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7F722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黑体" w:hAnsi="黑体" w:eastAsia="黑体" w:cs="黑体"/>
                <w:b w:val="0"/>
                <w:bCs w:val="0"/>
                <w:i w:val="0"/>
                <w:color w:val="auto"/>
                <w:kern w:val="0"/>
                <w:sz w:val="44"/>
                <w:szCs w:val="44"/>
                <w:highlight w:val="none"/>
                <w:u w:val="none"/>
                <w:shd w:val="clear" w:color="auto" w:fill="auto"/>
                <w:lang w:val="en-US" w:eastAsia="zh-CN"/>
              </w:rPr>
              <w:t xml:space="preserve"> </w:t>
            </w:r>
            <w:r>
              <w:rPr>
                <w:rFonts w:hint="eastAsia" w:ascii="宋体" w:hAnsi="宋体" w:eastAsia="宋体" w:cs="宋体"/>
                <w:b/>
                <w:bCs/>
                <w:i w:val="0"/>
                <w:color w:val="auto"/>
                <w:kern w:val="0"/>
                <w:sz w:val="20"/>
                <w:szCs w:val="20"/>
                <w:highlight w:val="none"/>
                <w:u w:val="none"/>
                <w:shd w:val="clear" w:color="auto" w:fill="auto"/>
                <w:lang w:val="en-US" w:eastAsia="zh-CN"/>
              </w:rPr>
              <w:t>序号</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A790C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项目名称</w:t>
            </w:r>
          </w:p>
        </w:tc>
        <w:tc>
          <w:tcPr>
            <w:tcW w:w="33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2A801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实施依据</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8DB29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职权</w:t>
            </w:r>
          </w:p>
          <w:p w14:paraId="7BE4BFB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类别</w:t>
            </w:r>
          </w:p>
        </w:tc>
        <w:tc>
          <w:tcPr>
            <w:tcW w:w="14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A744EC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办理环节</w:t>
            </w:r>
          </w:p>
        </w:tc>
        <w:tc>
          <w:tcPr>
            <w:tcW w:w="332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A02E52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责任事项</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6C8D69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追责情形</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EC724D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责任科室</w:t>
            </w:r>
          </w:p>
        </w:tc>
      </w:tr>
      <w:tr w14:paraId="28AED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41" w:hRule="atLeast"/>
          <w:jc w:val="center"/>
        </w:trPr>
        <w:tc>
          <w:tcPr>
            <w:tcW w:w="114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CF37D54">
            <w:pPr>
              <w:keepNext w:val="0"/>
              <w:keepLines w:val="0"/>
              <w:pageBreakBefore w:val="0"/>
              <w:kinsoku/>
              <w:wordWrap/>
              <w:topLinePunct w:val="0"/>
              <w:autoSpaceDE/>
              <w:autoSpaceDN/>
              <w:bidi w:val="0"/>
              <w:adjustRightInd/>
              <w:snapToGrid/>
              <w:spacing w:before="0" w:beforeLines="0" w:after="0" w:afterLines="0" w:line="240" w:lineRule="auto"/>
              <w:ind w:left="0" w:leftChars="0" w:right="0" w:rightChars="0" w:firstLine="0" w:firstLineChars="0"/>
              <w:jc w:val="center"/>
              <w:outlineLvl w:val="9"/>
              <w:rPr>
                <w:rFonts w:hint="eastAsia"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i w:val="0"/>
                <w:caps w:val="0"/>
                <w:color w:val="auto"/>
                <w:spacing w:val="0"/>
                <w:sz w:val="20"/>
                <w:szCs w:val="20"/>
                <w:highlight w:val="none"/>
                <w:shd w:val="clear" w:color="auto" w:fill="auto"/>
                <w:lang w:val="en-US" w:eastAsia="zh-CN"/>
              </w:rPr>
              <w:t>7</w:t>
            </w:r>
          </w:p>
        </w:tc>
        <w:tc>
          <w:tcPr>
            <w:tcW w:w="1847"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B55FAD1">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i w:val="0"/>
                <w:caps w:val="0"/>
                <w:color w:val="auto"/>
                <w:spacing w:val="0"/>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rPr>
              <w:t>在公路建筑控制区内修建建筑物、地面构筑物或者擅自埋设管线、电缆等设施的处罚</w:t>
            </w:r>
            <w:r>
              <w:rPr>
                <w:rFonts w:hint="eastAsia" w:ascii="宋体" w:hAnsi="宋体" w:eastAsia="宋体" w:cs="宋体"/>
                <w:color w:val="auto"/>
                <w:sz w:val="20"/>
                <w:szCs w:val="20"/>
                <w:highlight w:val="none"/>
                <w:shd w:val="clear" w:color="auto" w:fill="auto"/>
                <w:lang w:eastAsia="zh-CN"/>
              </w:rPr>
              <w:t>（</w:t>
            </w:r>
            <w:r>
              <w:rPr>
                <w:rFonts w:hint="eastAsia" w:ascii="宋体" w:hAnsi="宋体" w:eastAsia="宋体" w:cs="宋体"/>
                <w:color w:val="auto"/>
                <w:sz w:val="20"/>
                <w:szCs w:val="20"/>
                <w:highlight w:val="none"/>
                <w:shd w:val="clear" w:color="auto" w:fill="auto"/>
                <w:lang w:val="en-US" w:eastAsia="zh-CN"/>
              </w:rPr>
              <w:t>乡道、村道</w:t>
            </w:r>
            <w:r>
              <w:rPr>
                <w:rFonts w:hint="eastAsia" w:ascii="宋体" w:hAnsi="宋体" w:eastAsia="宋体" w:cs="宋体"/>
                <w:color w:val="auto"/>
                <w:sz w:val="20"/>
                <w:szCs w:val="20"/>
                <w:highlight w:val="none"/>
                <w:shd w:val="clear" w:color="auto" w:fill="auto"/>
                <w:lang w:eastAsia="zh-CN"/>
              </w:rPr>
              <w:t>）</w:t>
            </w:r>
          </w:p>
        </w:tc>
        <w:tc>
          <w:tcPr>
            <w:tcW w:w="3300" w:type="dxa"/>
            <w:vMerge w:val="restart"/>
            <w:tcBorders>
              <w:top w:val="single" w:color="000000" w:sz="4" w:space="0"/>
              <w:left w:val="single" w:color="000000" w:sz="4" w:space="0"/>
              <w:right w:val="nil"/>
            </w:tcBorders>
            <w:tcMar>
              <w:top w:w="15" w:type="dxa"/>
              <w:left w:w="15" w:type="dxa"/>
              <w:right w:w="15" w:type="dxa"/>
            </w:tcMar>
            <w:vAlign w:val="center"/>
          </w:tcPr>
          <w:p w14:paraId="583681AC">
            <w:pPr>
              <w:keepNext w:val="0"/>
              <w:keepLines w:val="0"/>
              <w:pageBreakBefore w:val="0"/>
              <w:widowControl w:val="0"/>
              <w:kinsoku/>
              <w:wordWrap/>
              <w:overflowPunct w:val="0"/>
              <w:topLinePunct w:val="0"/>
              <w:autoSpaceDE/>
              <w:bidi w:val="0"/>
              <w:snapToGrid w:val="0"/>
              <w:spacing w:line="240" w:lineRule="auto"/>
              <w:ind w:left="0" w:firstLine="0" w:firstLineChars="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《中华人民共和国公路法》（2017年主席令第81号）第八十一条： “违反本法第五十六条规定，在公路建筑控制区内修建建筑物、地面构筑物或者擅自埋设管线、电缆等设施的，由交通主管部门责令限期拆除，并可以处五万元以下的罚款逾期不拆除的，由交通主管部门拆除，有关费用由建筑者、构筑者承担。”</w:t>
            </w:r>
          </w:p>
          <w:p w14:paraId="643C8787">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i w:val="0"/>
                <w:caps w:val="0"/>
                <w:color w:val="auto"/>
                <w:spacing w:val="0"/>
                <w:sz w:val="20"/>
                <w:szCs w:val="20"/>
                <w:highlight w:val="none"/>
                <w:shd w:val="clear" w:color="auto" w:fill="auto"/>
              </w:rPr>
            </w:pPr>
            <w:r>
              <w:rPr>
                <w:rFonts w:hint="eastAsia" w:ascii="宋体" w:hAnsi="宋体" w:eastAsia="宋体" w:cs="宋体"/>
                <w:color w:val="auto"/>
                <w:sz w:val="20"/>
                <w:szCs w:val="20"/>
                <w:highlight w:val="none"/>
                <w:shd w:val="clear" w:color="auto" w:fill="auto"/>
              </w:rPr>
              <w:t>《公路安全保护条例》（国务院令第593号）第五十六条： “　违反本条例的规定，有下列情形之一的，由公路管理机构责令限期拆除，可以处5万元以下的罚款。逾期不拆除的，由公路管理机构拆除，有关费用由违法行为人承担：（一）在公路建筑控制区内修建、扩建建筑物、地面构筑物或者未经许可埋设管道、电缆等设施的。”</w:t>
            </w:r>
          </w:p>
        </w:tc>
        <w:tc>
          <w:tcPr>
            <w:tcW w:w="1059" w:type="dxa"/>
            <w:vMerge w:val="restart"/>
            <w:tcBorders>
              <w:top w:val="single" w:color="000000" w:sz="4" w:space="0"/>
              <w:left w:val="single" w:color="000000" w:sz="4" w:space="0"/>
              <w:right w:val="single" w:color="auto" w:sz="4" w:space="0"/>
            </w:tcBorders>
            <w:tcMar>
              <w:top w:w="15" w:type="dxa"/>
              <w:left w:w="15" w:type="dxa"/>
              <w:right w:w="15" w:type="dxa"/>
            </w:tcMar>
            <w:vAlign w:val="center"/>
          </w:tcPr>
          <w:p w14:paraId="65DFE5BF">
            <w:pPr>
              <w:keepNext w:val="0"/>
              <w:keepLines w:val="0"/>
              <w:pageBreakBefore w:val="0"/>
              <w:widowControl/>
              <w:suppressLineNumbers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b w:val="0"/>
                <w:bCs w:val="0"/>
                <w:color w:val="auto"/>
                <w:sz w:val="20"/>
                <w:szCs w:val="20"/>
                <w:highlight w:val="none"/>
                <w:shd w:val="clear" w:color="auto" w:fill="auto"/>
                <w:lang w:eastAsia="zh-CN"/>
              </w:rPr>
              <w:t>行政处罚</w:t>
            </w: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0F99E8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4251B1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58944497">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65C8C89B">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r>
      <w:tr w14:paraId="5825F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71"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30BB409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62F0C11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3300" w:type="dxa"/>
            <w:vMerge w:val="continue"/>
            <w:tcBorders>
              <w:left w:val="single" w:color="000000" w:sz="4" w:space="0"/>
              <w:right w:val="nil"/>
            </w:tcBorders>
            <w:tcMar>
              <w:top w:w="15" w:type="dxa"/>
              <w:left w:w="15" w:type="dxa"/>
              <w:right w:w="15" w:type="dxa"/>
            </w:tcMar>
            <w:vAlign w:val="center"/>
          </w:tcPr>
          <w:p w14:paraId="69BC19E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0DDAC3B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DDFC118">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11035C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7722873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294EB07A">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2E8A5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75F7AB62">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048335A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4AD85F13">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0D64577F">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6CAE233">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3CD68D3">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343FA994">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34C0DDE2">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66BE4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644DB636">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193B322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6D28E3C4">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398F2DBA">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F44244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3D94CC3">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4056680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1DF5C07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0E814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481A97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381CC6C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val="en-US" w:eastAsia="zh-CN"/>
              </w:rPr>
            </w:pPr>
            <w:r>
              <w:rPr>
                <w:rFonts w:hint="eastAsia" w:ascii="宋体" w:hAnsi="宋体" w:eastAsia="宋体" w:cs="宋体"/>
                <w:color w:val="auto"/>
                <w:sz w:val="20"/>
                <w:szCs w:val="20"/>
                <w:highlight w:val="none"/>
                <w:shd w:val="clear" w:color="auto" w:fill="auto"/>
                <w:lang w:val="en-US" w:eastAsia="zh-CN"/>
              </w:rPr>
              <w:t>调整情况：下放</w:t>
            </w:r>
          </w:p>
        </w:tc>
      </w:tr>
      <w:tr w14:paraId="5FC2D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14:paraId="18AC574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EA13C7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lang w:eastAsia="zh-CN"/>
              </w:rPr>
              <w:t>调整原因：根据《南阳市人民政府关于优化调整赋予乡镇（街道）行政处罚权的通知(宛政[2025]11号)文件要求</w:t>
            </w:r>
          </w:p>
        </w:tc>
      </w:tr>
    </w:tbl>
    <w:p w14:paraId="5E3E8531">
      <w:pPr>
        <w:rPr>
          <w:color w:val="auto"/>
        </w:rPr>
      </w:pPr>
    </w:p>
    <w:p w14:paraId="697819ED">
      <w:pPr>
        <w:keepNext w:val="0"/>
        <w:keepLines w:val="0"/>
        <w:pageBreakBefore w:val="0"/>
        <w:widowControl w:val="0"/>
        <w:shd w:val="clear"/>
        <w:kinsoku/>
        <w:wordWrap/>
        <w:overflowPunct/>
        <w:topLinePunct w:val="0"/>
        <w:autoSpaceDE/>
        <w:autoSpaceDN w:val="0"/>
        <w:bidi w:val="0"/>
        <w:adjustRightInd/>
        <w:snapToGrid/>
        <w:spacing w:before="157" w:beforeLines="50" w:after="0" w:line="240" w:lineRule="auto"/>
        <w:ind w:left="0" w:leftChars="0" w:right="0" w:firstLine="0" w:firstLineChars="0"/>
        <w:jc w:val="center"/>
        <w:textAlignment w:val="center"/>
        <w:outlineLvl w:val="9"/>
        <w:rPr>
          <w:rFonts w:hint="eastAsia" w:ascii="黑体" w:hAnsi="黑体" w:eastAsia="黑体" w:cs="黑体"/>
          <w:b w:val="0"/>
          <w:bCs w:val="0"/>
          <w:i w:val="0"/>
          <w:color w:val="auto"/>
          <w:kern w:val="0"/>
          <w:sz w:val="44"/>
          <w:szCs w:val="44"/>
          <w:highlight w:val="none"/>
          <w:u w:val="none"/>
          <w:shd w:val="clear" w:color="auto" w:fill="auto"/>
          <w:lang w:val="en-US" w:eastAsia="zh-CN"/>
        </w:rPr>
      </w:pPr>
      <w:r>
        <w:rPr>
          <w:rFonts w:hint="eastAsia" w:ascii="黑体" w:hAnsi="黑体" w:eastAsia="黑体" w:cs="黑体"/>
          <w:b w:val="0"/>
          <w:bCs w:val="0"/>
          <w:i w:val="0"/>
          <w:color w:val="auto"/>
          <w:kern w:val="0"/>
          <w:sz w:val="44"/>
          <w:szCs w:val="44"/>
          <w:highlight w:val="none"/>
          <w:u w:val="none"/>
          <w:shd w:val="clear" w:color="auto" w:fill="auto"/>
          <w:lang w:val="en-US" w:eastAsia="zh-CN"/>
        </w:rPr>
        <w:t xml:space="preserve"> </w:t>
      </w:r>
    </w:p>
    <w:tbl>
      <w:tblPr>
        <w:tblStyle w:val="3"/>
        <w:tblW w:w="154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44"/>
        <w:gridCol w:w="1847"/>
        <w:gridCol w:w="3300"/>
        <w:gridCol w:w="1059"/>
        <w:gridCol w:w="1485"/>
        <w:gridCol w:w="3323"/>
        <w:gridCol w:w="1646"/>
        <w:gridCol w:w="1646"/>
      </w:tblGrid>
      <w:tr w14:paraId="77E28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11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483B5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序号</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F5495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项目名称</w:t>
            </w:r>
          </w:p>
        </w:tc>
        <w:tc>
          <w:tcPr>
            <w:tcW w:w="33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5CC23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实施依据</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483FA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职权</w:t>
            </w:r>
          </w:p>
          <w:p w14:paraId="4129ED0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类别</w:t>
            </w:r>
          </w:p>
        </w:tc>
        <w:tc>
          <w:tcPr>
            <w:tcW w:w="14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2FDF81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办理环节</w:t>
            </w:r>
          </w:p>
        </w:tc>
        <w:tc>
          <w:tcPr>
            <w:tcW w:w="332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5D513F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责任事项</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421EA7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追责情形</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31F90D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责任科室</w:t>
            </w:r>
          </w:p>
        </w:tc>
      </w:tr>
      <w:tr w14:paraId="25780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41" w:hRule="atLeast"/>
          <w:jc w:val="center"/>
        </w:trPr>
        <w:tc>
          <w:tcPr>
            <w:tcW w:w="114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5900E7C">
            <w:pPr>
              <w:keepNext w:val="0"/>
              <w:keepLines w:val="0"/>
              <w:pageBreakBefore w:val="0"/>
              <w:kinsoku/>
              <w:wordWrap/>
              <w:topLinePunct w:val="0"/>
              <w:autoSpaceDE/>
              <w:autoSpaceDN/>
              <w:bidi w:val="0"/>
              <w:adjustRightInd/>
              <w:snapToGrid/>
              <w:spacing w:before="0" w:beforeLines="0" w:after="0" w:afterLines="0" w:line="240" w:lineRule="auto"/>
              <w:ind w:left="0" w:leftChars="0" w:right="0" w:rightChars="0" w:firstLine="0" w:firstLineChars="0"/>
              <w:jc w:val="center"/>
              <w:outlineLvl w:val="9"/>
              <w:rPr>
                <w:rFonts w:hint="eastAsia"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i w:val="0"/>
                <w:caps w:val="0"/>
                <w:color w:val="auto"/>
                <w:spacing w:val="0"/>
                <w:sz w:val="20"/>
                <w:szCs w:val="20"/>
                <w:highlight w:val="none"/>
                <w:shd w:val="clear" w:color="auto" w:fill="auto"/>
                <w:lang w:val="en-US" w:eastAsia="zh-CN"/>
              </w:rPr>
              <w:t>8</w:t>
            </w:r>
          </w:p>
        </w:tc>
        <w:tc>
          <w:tcPr>
            <w:tcW w:w="1847"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3E2BF43">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i w:val="0"/>
                <w:caps w:val="0"/>
                <w:color w:val="auto"/>
                <w:spacing w:val="0"/>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rPr>
              <w:t>在公路建筑控制区外修建的建筑物、地面构筑物以及其他设施遮挡公路标志或者妨碍安全视距的处罚</w:t>
            </w:r>
            <w:r>
              <w:rPr>
                <w:rFonts w:hint="eastAsia" w:ascii="宋体" w:hAnsi="宋体" w:eastAsia="宋体" w:cs="宋体"/>
                <w:color w:val="auto"/>
                <w:sz w:val="20"/>
                <w:szCs w:val="20"/>
                <w:highlight w:val="none"/>
                <w:shd w:val="clear" w:color="auto" w:fill="auto"/>
                <w:lang w:eastAsia="zh-CN"/>
              </w:rPr>
              <w:t>（</w:t>
            </w:r>
            <w:r>
              <w:rPr>
                <w:rFonts w:hint="eastAsia" w:ascii="宋体" w:hAnsi="宋体" w:eastAsia="宋体" w:cs="宋体"/>
                <w:color w:val="auto"/>
                <w:sz w:val="20"/>
                <w:szCs w:val="20"/>
                <w:highlight w:val="none"/>
                <w:shd w:val="clear" w:color="auto" w:fill="auto"/>
                <w:lang w:val="en-US" w:eastAsia="zh-CN"/>
              </w:rPr>
              <w:t>乡道</w:t>
            </w:r>
            <w:r>
              <w:rPr>
                <w:rFonts w:hint="eastAsia" w:ascii="宋体" w:hAnsi="宋体" w:eastAsia="宋体" w:cs="宋体"/>
                <w:color w:val="auto"/>
                <w:sz w:val="20"/>
                <w:szCs w:val="20"/>
                <w:highlight w:val="none"/>
                <w:shd w:val="clear" w:color="auto" w:fill="auto"/>
                <w:lang w:eastAsia="zh-CN"/>
              </w:rPr>
              <w:t>）</w:t>
            </w:r>
          </w:p>
        </w:tc>
        <w:tc>
          <w:tcPr>
            <w:tcW w:w="3300" w:type="dxa"/>
            <w:vMerge w:val="restart"/>
            <w:tcBorders>
              <w:top w:val="single" w:color="000000" w:sz="4" w:space="0"/>
              <w:left w:val="single" w:color="000000" w:sz="4" w:space="0"/>
              <w:right w:val="nil"/>
            </w:tcBorders>
            <w:tcMar>
              <w:top w:w="15" w:type="dxa"/>
              <w:left w:w="15" w:type="dxa"/>
              <w:right w:w="15" w:type="dxa"/>
            </w:tcMar>
            <w:vAlign w:val="center"/>
          </w:tcPr>
          <w:p w14:paraId="763B9986">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i w:val="0"/>
                <w:caps w:val="0"/>
                <w:color w:val="auto"/>
                <w:spacing w:val="0"/>
                <w:sz w:val="20"/>
                <w:szCs w:val="20"/>
                <w:highlight w:val="none"/>
                <w:shd w:val="clear" w:color="auto" w:fill="auto"/>
              </w:rPr>
            </w:pPr>
            <w:r>
              <w:rPr>
                <w:rFonts w:hint="eastAsia" w:ascii="宋体" w:hAnsi="宋体" w:eastAsia="宋体" w:cs="宋体"/>
                <w:color w:val="auto"/>
                <w:sz w:val="20"/>
                <w:szCs w:val="20"/>
                <w:highlight w:val="none"/>
                <w:shd w:val="clear" w:color="auto" w:fill="auto"/>
              </w:rPr>
              <w:t>《公路安全保护条例》（国务院令第593号）第五十六条： “违反本条例的规定，有下列情形之一的，由公路管理机构责令限期拆除，可以处5万元以下的罚款。逾期不拆除的，由公路管理机构拆除，有关费用由违法行为人承担：……（二）在公路建筑控制区外修建的建筑物、地面构筑物以及其他设施遮挡公路标志或者妨碍安全视距的。”</w:t>
            </w:r>
          </w:p>
        </w:tc>
        <w:tc>
          <w:tcPr>
            <w:tcW w:w="1059" w:type="dxa"/>
            <w:vMerge w:val="restart"/>
            <w:tcBorders>
              <w:top w:val="single" w:color="000000" w:sz="4" w:space="0"/>
              <w:left w:val="single" w:color="000000" w:sz="4" w:space="0"/>
              <w:right w:val="single" w:color="auto" w:sz="4" w:space="0"/>
            </w:tcBorders>
            <w:tcMar>
              <w:top w:w="15" w:type="dxa"/>
              <w:left w:w="15" w:type="dxa"/>
              <w:right w:w="15" w:type="dxa"/>
            </w:tcMar>
            <w:vAlign w:val="center"/>
          </w:tcPr>
          <w:p w14:paraId="52068DCE">
            <w:pPr>
              <w:keepNext w:val="0"/>
              <w:keepLines w:val="0"/>
              <w:pageBreakBefore w:val="0"/>
              <w:widowControl/>
              <w:suppressLineNumbers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b w:val="0"/>
                <w:bCs w:val="0"/>
                <w:color w:val="auto"/>
                <w:sz w:val="20"/>
                <w:szCs w:val="20"/>
                <w:highlight w:val="none"/>
                <w:shd w:val="clear" w:color="auto" w:fill="auto"/>
                <w:lang w:eastAsia="zh-CN"/>
              </w:rPr>
              <w:t>行政处罚</w:t>
            </w: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02AFCF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6BB7E1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70ACFAEA">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7013C839">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r>
      <w:tr w14:paraId="10E8C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71"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5F901CEA">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19C03A1F">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3300" w:type="dxa"/>
            <w:vMerge w:val="continue"/>
            <w:tcBorders>
              <w:left w:val="single" w:color="000000" w:sz="4" w:space="0"/>
              <w:right w:val="nil"/>
            </w:tcBorders>
            <w:tcMar>
              <w:top w:w="15" w:type="dxa"/>
              <w:left w:w="15" w:type="dxa"/>
              <w:right w:w="15" w:type="dxa"/>
            </w:tcMar>
            <w:vAlign w:val="center"/>
          </w:tcPr>
          <w:p w14:paraId="4E15E45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3D1FB5A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046BB2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D40BE0F">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68F9339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7EF4FF7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0A848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79F1A50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3019A30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6C7C2BB4">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087B3DE6">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1C6511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8827CA0">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516F3C1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26B0A32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6AE25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6D5F016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21A5DB6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2E1613C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308B3B86">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0AD7623">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CDA89AA">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64FB7138">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33FFD206">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679A3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23C852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13CDEC9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val="en-US" w:eastAsia="zh-CN"/>
              </w:rPr>
            </w:pPr>
            <w:r>
              <w:rPr>
                <w:rFonts w:hint="eastAsia" w:ascii="宋体" w:hAnsi="宋体" w:eastAsia="宋体" w:cs="宋体"/>
                <w:color w:val="auto"/>
                <w:sz w:val="20"/>
                <w:szCs w:val="20"/>
                <w:highlight w:val="none"/>
                <w:shd w:val="clear" w:color="auto" w:fill="auto"/>
                <w:lang w:val="en-US" w:eastAsia="zh-CN"/>
              </w:rPr>
              <w:t>调整情况：下放</w:t>
            </w:r>
          </w:p>
        </w:tc>
      </w:tr>
      <w:tr w14:paraId="70916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14:paraId="274B09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9CDC79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lang w:eastAsia="zh-CN"/>
              </w:rPr>
              <w:t>调整原因：根据《南阳市人民政府关于优化调整赋予乡镇（街道）行政处罚权的通知(宛政[2025]11号)文件要求</w:t>
            </w:r>
          </w:p>
        </w:tc>
      </w:tr>
    </w:tbl>
    <w:p w14:paraId="1A6449C1">
      <w:pPr>
        <w:rPr>
          <w:color w:val="auto"/>
        </w:rPr>
      </w:pPr>
    </w:p>
    <w:tbl>
      <w:tblPr>
        <w:tblStyle w:val="3"/>
        <w:tblW w:w="154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44"/>
        <w:gridCol w:w="1847"/>
        <w:gridCol w:w="3300"/>
        <w:gridCol w:w="1059"/>
        <w:gridCol w:w="1485"/>
        <w:gridCol w:w="3323"/>
        <w:gridCol w:w="1646"/>
        <w:gridCol w:w="1646"/>
      </w:tblGrid>
      <w:tr w14:paraId="710F7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11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407E1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黑体" w:hAnsi="黑体" w:eastAsia="黑体" w:cs="黑体"/>
                <w:b w:val="0"/>
                <w:bCs w:val="0"/>
                <w:i w:val="0"/>
                <w:color w:val="auto"/>
                <w:kern w:val="0"/>
                <w:sz w:val="44"/>
                <w:szCs w:val="44"/>
                <w:highlight w:val="none"/>
                <w:u w:val="none"/>
                <w:shd w:val="clear" w:color="auto" w:fill="auto"/>
                <w:lang w:val="en-US" w:eastAsia="zh-CN"/>
              </w:rPr>
              <w:t xml:space="preserve"> </w:t>
            </w:r>
            <w:r>
              <w:rPr>
                <w:rFonts w:hint="eastAsia" w:ascii="宋体" w:hAnsi="宋体" w:eastAsia="宋体" w:cs="宋体"/>
                <w:b/>
                <w:bCs/>
                <w:i w:val="0"/>
                <w:color w:val="auto"/>
                <w:kern w:val="0"/>
                <w:sz w:val="20"/>
                <w:szCs w:val="20"/>
                <w:highlight w:val="none"/>
                <w:u w:val="none"/>
                <w:shd w:val="clear" w:color="auto" w:fill="auto"/>
                <w:lang w:val="en-US" w:eastAsia="zh-CN"/>
              </w:rPr>
              <w:t>序号</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7A7A4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项目名称</w:t>
            </w:r>
          </w:p>
        </w:tc>
        <w:tc>
          <w:tcPr>
            <w:tcW w:w="33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5D7A4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实施依据</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62387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职权</w:t>
            </w:r>
          </w:p>
          <w:p w14:paraId="0DA2010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类别</w:t>
            </w:r>
          </w:p>
        </w:tc>
        <w:tc>
          <w:tcPr>
            <w:tcW w:w="14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D69B78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办理环节</w:t>
            </w:r>
          </w:p>
        </w:tc>
        <w:tc>
          <w:tcPr>
            <w:tcW w:w="332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DF5327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责任事项</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C6F216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追责情形</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E81A2B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责任科室</w:t>
            </w:r>
          </w:p>
        </w:tc>
      </w:tr>
      <w:tr w14:paraId="0961E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41" w:hRule="atLeast"/>
          <w:jc w:val="center"/>
        </w:trPr>
        <w:tc>
          <w:tcPr>
            <w:tcW w:w="114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C70C9A8">
            <w:pPr>
              <w:keepNext w:val="0"/>
              <w:keepLines w:val="0"/>
              <w:pageBreakBefore w:val="0"/>
              <w:kinsoku/>
              <w:wordWrap/>
              <w:topLinePunct w:val="0"/>
              <w:autoSpaceDE/>
              <w:autoSpaceDN/>
              <w:bidi w:val="0"/>
              <w:adjustRightInd/>
              <w:snapToGrid/>
              <w:spacing w:before="0" w:beforeLines="0" w:after="0" w:afterLines="0" w:line="240" w:lineRule="auto"/>
              <w:ind w:left="0" w:leftChars="0" w:right="0" w:rightChars="0" w:firstLine="0" w:firstLineChars="0"/>
              <w:jc w:val="center"/>
              <w:outlineLvl w:val="9"/>
              <w:rPr>
                <w:rFonts w:hint="eastAsia"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i w:val="0"/>
                <w:caps w:val="0"/>
                <w:color w:val="auto"/>
                <w:spacing w:val="0"/>
                <w:sz w:val="20"/>
                <w:szCs w:val="20"/>
                <w:highlight w:val="none"/>
                <w:shd w:val="clear" w:color="auto" w:fill="auto"/>
                <w:lang w:val="en-US" w:eastAsia="zh-CN"/>
              </w:rPr>
              <w:t>9</w:t>
            </w:r>
          </w:p>
        </w:tc>
        <w:tc>
          <w:tcPr>
            <w:tcW w:w="1847"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4A6A371">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i w:val="0"/>
                <w:caps w:val="0"/>
                <w:color w:val="auto"/>
                <w:spacing w:val="0"/>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rPr>
              <w:t>涉路工程设施影响公路完好、安全和畅通的处罚</w:t>
            </w:r>
            <w:r>
              <w:rPr>
                <w:rFonts w:hint="eastAsia" w:ascii="宋体" w:hAnsi="宋体" w:eastAsia="宋体" w:cs="宋体"/>
                <w:color w:val="auto"/>
                <w:sz w:val="20"/>
                <w:szCs w:val="20"/>
                <w:highlight w:val="none"/>
                <w:shd w:val="clear" w:color="auto" w:fill="auto"/>
                <w:lang w:eastAsia="zh-CN"/>
              </w:rPr>
              <w:t>（</w:t>
            </w:r>
            <w:r>
              <w:rPr>
                <w:rFonts w:hint="eastAsia" w:ascii="宋体" w:hAnsi="宋体" w:eastAsia="宋体" w:cs="宋体"/>
                <w:color w:val="auto"/>
                <w:sz w:val="20"/>
                <w:szCs w:val="20"/>
                <w:highlight w:val="none"/>
                <w:shd w:val="clear" w:color="auto" w:fill="auto"/>
                <w:lang w:val="en-US" w:eastAsia="zh-CN"/>
              </w:rPr>
              <w:t>乡道</w:t>
            </w:r>
            <w:r>
              <w:rPr>
                <w:rFonts w:hint="eastAsia" w:ascii="宋体" w:hAnsi="宋体" w:eastAsia="宋体" w:cs="宋体"/>
                <w:color w:val="auto"/>
                <w:sz w:val="20"/>
                <w:szCs w:val="20"/>
                <w:highlight w:val="none"/>
                <w:shd w:val="clear" w:color="auto" w:fill="auto"/>
                <w:lang w:eastAsia="zh-CN"/>
              </w:rPr>
              <w:t>）</w:t>
            </w:r>
          </w:p>
        </w:tc>
        <w:tc>
          <w:tcPr>
            <w:tcW w:w="3300" w:type="dxa"/>
            <w:vMerge w:val="restart"/>
            <w:tcBorders>
              <w:top w:val="single" w:color="000000" w:sz="4" w:space="0"/>
              <w:left w:val="single" w:color="000000" w:sz="4" w:space="0"/>
              <w:right w:val="nil"/>
            </w:tcBorders>
            <w:tcMar>
              <w:top w:w="15" w:type="dxa"/>
              <w:left w:w="15" w:type="dxa"/>
              <w:right w:w="15" w:type="dxa"/>
            </w:tcMar>
            <w:vAlign w:val="center"/>
          </w:tcPr>
          <w:p w14:paraId="6BCFF24E">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i w:val="0"/>
                <w:caps w:val="0"/>
                <w:color w:val="auto"/>
                <w:spacing w:val="0"/>
                <w:sz w:val="20"/>
                <w:szCs w:val="20"/>
                <w:highlight w:val="none"/>
                <w:shd w:val="clear" w:color="auto" w:fill="auto"/>
              </w:rPr>
            </w:pPr>
            <w:r>
              <w:rPr>
                <w:rFonts w:hint="eastAsia" w:ascii="宋体" w:hAnsi="宋体" w:eastAsia="宋体" w:cs="宋体"/>
                <w:color w:val="auto"/>
                <w:sz w:val="20"/>
                <w:szCs w:val="20"/>
                <w:highlight w:val="none"/>
                <w:shd w:val="clear" w:color="auto" w:fill="auto"/>
              </w:rPr>
              <w:t>《公路安全保护条例》（国务院令第593号）第六十条： “违反本条例的规定，有下列行为之一的，由公路管理机构责令改正，可以处3万元以下的罚款：……（二）涉路工程设施影响公路完好、安全和畅通的。”</w:t>
            </w:r>
          </w:p>
        </w:tc>
        <w:tc>
          <w:tcPr>
            <w:tcW w:w="1059" w:type="dxa"/>
            <w:vMerge w:val="restart"/>
            <w:tcBorders>
              <w:top w:val="single" w:color="000000" w:sz="4" w:space="0"/>
              <w:left w:val="single" w:color="000000" w:sz="4" w:space="0"/>
              <w:right w:val="single" w:color="auto" w:sz="4" w:space="0"/>
            </w:tcBorders>
            <w:tcMar>
              <w:top w:w="15" w:type="dxa"/>
              <w:left w:w="15" w:type="dxa"/>
              <w:right w:w="15" w:type="dxa"/>
            </w:tcMar>
            <w:vAlign w:val="center"/>
          </w:tcPr>
          <w:p w14:paraId="5752678F">
            <w:pPr>
              <w:keepNext w:val="0"/>
              <w:keepLines w:val="0"/>
              <w:pageBreakBefore w:val="0"/>
              <w:widowControl/>
              <w:suppressLineNumbers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b w:val="0"/>
                <w:bCs w:val="0"/>
                <w:color w:val="auto"/>
                <w:sz w:val="20"/>
                <w:szCs w:val="20"/>
                <w:highlight w:val="none"/>
                <w:shd w:val="clear" w:color="auto" w:fill="auto"/>
                <w:lang w:eastAsia="zh-CN"/>
              </w:rPr>
              <w:t>行政处罚</w:t>
            </w: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AAC1782">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F49FD2D">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7672AF01">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5B32C63C">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r>
      <w:tr w14:paraId="7608E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71"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5C41E572">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0C4FB530">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3300" w:type="dxa"/>
            <w:vMerge w:val="continue"/>
            <w:tcBorders>
              <w:left w:val="single" w:color="000000" w:sz="4" w:space="0"/>
              <w:right w:val="nil"/>
            </w:tcBorders>
            <w:tcMar>
              <w:top w:w="15" w:type="dxa"/>
              <w:left w:w="15" w:type="dxa"/>
              <w:right w:w="15" w:type="dxa"/>
            </w:tcMar>
            <w:vAlign w:val="center"/>
          </w:tcPr>
          <w:p w14:paraId="6BA0354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079A8AF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DF53F5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5FF4CA0">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28A5BBD2">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19DEFAA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4A5F9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6B67F4C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0D1D75EF">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3E57C7E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11D7FD7A">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6D921F0">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62CAFE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71C2AA6F">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68091B22">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1DB71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66336B5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4302D902">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747F85C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4C21B686">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EC79C2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A87270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1FD8A000">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79BA5756">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0BC01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2BA6F3E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0D94910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val="en-US" w:eastAsia="zh-CN"/>
              </w:rPr>
            </w:pPr>
            <w:r>
              <w:rPr>
                <w:rFonts w:hint="eastAsia" w:ascii="宋体" w:hAnsi="宋体" w:eastAsia="宋体" w:cs="宋体"/>
                <w:color w:val="auto"/>
                <w:sz w:val="20"/>
                <w:szCs w:val="20"/>
                <w:highlight w:val="none"/>
                <w:shd w:val="clear" w:color="auto" w:fill="auto"/>
                <w:lang w:val="en-US" w:eastAsia="zh-CN"/>
              </w:rPr>
              <w:t>调整情况：下放</w:t>
            </w:r>
          </w:p>
        </w:tc>
      </w:tr>
      <w:tr w14:paraId="34B9A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14:paraId="483BE3B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1446B5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lang w:eastAsia="zh-CN"/>
              </w:rPr>
              <w:t>调整原因：根据《南阳市人民政府关于优化调整赋予乡镇（街道）行政处罚权的通知(宛政[2025]11号)文件要求</w:t>
            </w:r>
          </w:p>
        </w:tc>
      </w:tr>
    </w:tbl>
    <w:p w14:paraId="157EA156">
      <w:pPr>
        <w:keepNext w:val="0"/>
        <w:keepLines w:val="0"/>
        <w:pageBreakBefore w:val="0"/>
        <w:widowControl w:val="0"/>
        <w:shd w:val="clear"/>
        <w:kinsoku/>
        <w:wordWrap/>
        <w:overflowPunct/>
        <w:topLinePunct w:val="0"/>
        <w:autoSpaceDE/>
        <w:autoSpaceDN w:val="0"/>
        <w:bidi w:val="0"/>
        <w:adjustRightInd/>
        <w:snapToGrid/>
        <w:spacing w:before="157" w:beforeLines="50" w:after="0" w:line="240" w:lineRule="auto"/>
        <w:ind w:left="0" w:leftChars="0" w:right="0" w:firstLine="0" w:firstLineChars="0"/>
        <w:jc w:val="center"/>
        <w:textAlignment w:val="center"/>
        <w:outlineLvl w:val="9"/>
        <w:rPr>
          <w:rFonts w:hint="eastAsia" w:ascii="黑体" w:hAnsi="黑体" w:eastAsia="黑体" w:cs="黑体"/>
          <w:b w:val="0"/>
          <w:bCs w:val="0"/>
          <w:i w:val="0"/>
          <w:color w:val="auto"/>
          <w:kern w:val="0"/>
          <w:sz w:val="44"/>
          <w:szCs w:val="44"/>
          <w:highlight w:val="none"/>
          <w:u w:val="none"/>
          <w:shd w:val="clear" w:color="auto" w:fill="auto"/>
          <w:lang w:val="en-US" w:eastAsia="zh-CN"/>
        </w:rPr>
      </w:pPr>
    </w:p>
    <w:p w14:paraId="57AEDB93">
      <w:pPr>
        <w:keepNext w:val="0"/>
        <w:keepLines w:val="0"/>
        <w:pageBreakBefore w:val="0"/>
        <w:widowControl w:val="0"/>
        <w:shd w:val="clear"/>
        <w:kinsoku/>
        <w:wordWrap/>
        <w:overflowPunct/>
        <w:topLinePunct w:val="0"/>
        <w:autoSpaceDE/>
        <w:autoSpaceDN w:val="0"/>
        <w:bidi w:val="0"/>
        <w:adjustRightInd/>
        <w:snapToGrid/>
        <w:spacing w:before="157" w:beforeLines="50" w:after="0" w:line="240" w:lineRule="auto"/>
        <w:ind w:left="0" w:leftChars="0" w:right="0" w:firstLine="0" w:firstLineChars="0"/>
        <w:jc w:val="center"/>
        <w:textAlignment w:val="center"/>
        <w:outlineLvl w:val="9"/>
        <w:rPr>
          <w:rFonts w:hint="eastAsia" w:ascii="黑体" w:hAnsi="黑体" w:eastAsia="黑体" w:cs="黑体"/>
          <w:b w:val="0"/>
          <w:bCs w:val="0"/>
          <w:i w:val="0"/>
          <w:color w:val="auto"/>
          <w:kern w:val="0"/>
          <w:sz w:val="44"/>
          <w:szCs w:val="44"/>
          <w:highlight w:val="none"/>
          <w:u w:val="none"/>
          <w:shd w:val="clear" w:color="auto" w:fill="auto"/>
          <w:lang w:val="en-US" w:eastAsia="zh-CN"/>
        </w:rPr>
      </w:pPr>
    </w:p>
    <w:tbl>
      <w:tblPr>
        <w:tblStyle w:val="3"/>
        <w:tblW w:w="154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44"/>
        <w:gridCol w:w="1847"/>
        <w:gridCol w:w="3300"/>
        <w:gridCol w:w="1059"/>
        <w:gridCol w:w="1485"/>
        <w:gridCol w:w="3323"/>
        <w:gridCol w:w="1646"/>
        <w:gridCol w:w="1646"/>
      </w:tblGrid>
      <w:tr w14:paraId="7C7B7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11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4E1BC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黑体" w:hAnsi="黑体" w:eastAsia="黑体" w:cs="黑体"/>
                <w:b w:val="0"/>
                <w:bCs w:val="0"/>
                <w:i w:val="0"/>
                <w:color w:val="auto"/>
                <w:kern w:val="0"/>
                <w:sz w:val="44"/>
                <w:szCs w:val="44"/>
                <w:highlight w:val="none"/>
                <w:u w:val="none"/>
                <w:shd w:val="clear" w:color="auto" w:fill="auto"/>
                <w:lang w:val="en-US" w:eastAsia="zh-CN"/>
              </w:rPr>
              <w:t xml:space="preserve"> </w:t>
            </w:r>
            <w:r>
              <w:rPr>
                <w:rFonts w:hint="eastAsia" w:ascii="宋体" w:hAnsi="宋体" w:eastAsia="宋体" w:cs="宋体"/>
                <w:b/>
                <w:bCs/>
                <w:i w:val="0"/>
                <w:color w:val="auto"/>
                <w:kern w:val="0"/>
                <w:sz w:val="20"/>
                <w:szCs w:val="20"/>
                <w:highlight w:val="none"/>
                <w:u w:val="none"/>
                <w:shd w:val="clear" w:color="auto" w:fill="auto"/>
                <w:lang w:val="en-US" w:eastAsia="zh-CN"/>
              </w:rPr>
              <w:t>序号</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420EC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项目名称</w:t>
            </w:r>
          </w:p>
        </w:tc>
        <w:tc>
          <w:tcPr>
            <w:tcW w:w="33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C336C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实施依据</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F943B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职权</w:t>
            </w:r>
          </w:p>
          <w:p w14:paraId="6B662A7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类别</w:t>
            </w:r>
          </w:p>
        </w:tc>
        <w:tc>
          <w:tcPr>
            <w:tcW w:w="14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2404C1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办理环节</w:t>
            </w:r>
          </w:p>
        </w:tc>
        <w:tc>
          <w:tcPr>
            <w:tcW w:w="332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830BC5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责任事项</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6D3AD4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追责情形</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F31597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责任科室</w:t>
            </w:r>
          </w:p>
        </w:tc>
      </w:tr>
      <w:tr w14:paraId="7E8A3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41" w:hRule="atLeast"/>
          <w:jc w:val="center"/>
        </w:trPr>
        <w:tc>
          <w:tcPr>
            <w:tcW w:w="114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E8E6E29">
            <w:pPr>
              <w:keepNext w:val="0"/>
              <w:keepLines w:val="0"/>
              <w:pageBreakBefore w:val="0"/>
              <w:kinsoku/>
              <w:wordWrap/>
              <w:topLinePunct w:val="0"/>
              <w:autoSpaceDE/>
              <w:autoSpaceDN/>
              <w:bidi w:val="0"/>
              <w:adjustRightInd/>
              <w:snapToGrid/>
              <w:spacing w:before="0" w:beforeLines="0" w:after="0" w:afterLines="0" w:line="240" w:lineRule="auto"/>
              <w:ind w:left="0" w:leftChars="0" w:right="0" w:rightChars="0" w:firstLine="0" w:firstLineChars="0"/>
              <w:jc w:val="center"/>
              <w:outlineLvl w:val="9"/>
              <w:rPr>
                <w:rFonts w:hint="default"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i w:val="0"/>
                <w:caps w:val="0"/>
                <w:color w:val="auto"/>
                <w:spacing w:val="0"/>
                <w:sz w:val="20"/>
                <w:szCs w:val="20"/>
                <w:highlight w:val="none"/>
                <w:shd w:val="clear" w:color="auto" w:fill="auto"/>
                <w:lang w:val="en-US" w:eastAsia="zh-CN"/>
              </w:rPr>
              <w:t>10</w:t>
            </w:r>
          </w:p>
        </w:tc>
        <w:tc>
          <w:tcPr>
            <w:tcW w:w="1847"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4920CE2">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游艇操作人员操作游艇时未携带合格的适任证书的处罚</w:t>
            </w:r>
          </w:p>
          <w:p w14:paraId="2BA1AE06">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color w:val="auto"/>
                <w:sz w:val="20"/>
                <w:szCs w:val="20"/>
                <w:highlight w:val="none"/>
                <w:shd w:val="clear" w:color="auto" w:fill="auto"/>
                <w:lang w:eastAsia="zh-CN"/>
              </w:rPr>
            </w:pPr>
          </w:p>
        </w:tc>
        <w:tc>
          <w:tcPr>
            <w:tcW w:w="3300" w:type="dxa"/>
            <w:vMerge w:val="restart"/>
            <w:tcBorders>
              <w:top w:val="single" w:color="000000" w:sz="4" w:space="0"/>
              <w:left w:val="single" w:color="000000" w:sz="4" w:space="0"/>
              <w:right w:val="nil"/>
            </w:tcBorders>
            <w:tcMar>
              <w:top w:w="15" w:type="dxa"/>
              <w:left w:w="15" w:type="dxa"/>
              <w:right w:w="15" w:type="dxa"/>
            </w:tcMar>
            <w:vAlign w:val="center"/>
          </w:tcPr>
          <w:p w14:paraId="6B2A6A1E">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color w:val="auto"/>
                <w:sz w:val="20"/>
                <w:szCs w:val="20"/>
                <w:highlight w:val="none"/>
                <w:shd w:val="clear" w:color="auto" w:fill="auto"/>
              </w:rPr>
            </w:pPr>
            <w:r>
              <w:rPr>
                <w:rFonts w:hint="default" w:ascii="宋体" w:hAnsi="宋体" w:eastAsia="宋体" w:cs="宋体"/>
                <w:color w:val="auto"/>
                <w:sz w:val="20"/>
                <w:szCs w:val="20"/>
                <w:highlight w:val="none"/>
                <w:shd w:val="clear" w:color="auto" w:fill="auto"/>
                <w:lang w:val="en-US" w:eastAsia="zh-CN"/>
              </w:rPr>
              <w:t>《游艇安全管理规定》（交通运输部令2008年第7号）第三十八条：“违反本规定，游艇操作人员操作游艇时未携带合格的适任证书的，由海事管理机构责令改正，并可处以2000元以下罚款。</w:t>
            </w:r>
          </w:p>
        </w:tc>
        <w:tc>
          <w:tcPr>
            <w:tcW w:w="1059" w:type="dxa"/>
            <w:vMerge w:val="restart"/>
            <w:tcBorders>
              <w:top w:val="single" w:color="000000" w:sz="4" w:space="0"/>
              <w:left w:val="single" w:color="000000" w:sz="4" w:space="0"/>
              <w:right w:val="single" w:color="auto" w:sz="4" w:space="0"/>
            </w:tcBorders>
            <w:tcMar>
              <w:top w:w="15" w:type="dxa"/>
              <w:left w:w="15" w:type="dxa"/>
              <w:right w:w="15" w:type="dxa"/>
            </w:tcMar>
            <w:vAlign w:val="center"/>
          </w:tcPr>
          <w:p w14:paraId="6D2C11C1">
            <w:pPr>
              <w:keepNext w:val="0"/>
              <w:keepLines w:val="0"/>
              <w:widowControl/>
              <w:suppressLineNumbers w:val="0"/>
              <w:ind w:left="0" w:leftChars="0" w:firstLine="0" w:firstLineChars="0"/>
              <w:jc w:val="both"/>
              <w:textAlignment w:val="center"/>
              <w:rPr>
                <w:rFonts w:hint="eastAsia" w:ascii="宋体" w:hAnsi="宋体" w:eastAsia="宋体" w:cs="宋体"/>
                <w:i w:val="0"/>
                <w:caps w:val="0"/>
                <w:color w:val="auto"/>
                <w:spacing w:val="0"/>
                <w:sz w:val="20"/>
                <w:szCs w:val="20"/>
                <w:highlight w:val="none"/>
                <w:shd w:val="clear" w:color="auto" w:fill="auto"/>
                <w:lang w:val="en-US" w:eastAsia="zh-CN"/>
              </w:rPr>
            </w:pPr>
            <w:r>
              <w:rPr>
                <w:rFonts w:hint="default" w:ascii="宋体" w:hAnsi="宋体" w:eastAsia="宋体" w:cs="宋体"/>
                <w:color w:val="auto"/>
                <w:sz w:val="20"/>
                <w:szCs w:val="20"/>
                <w:highlight w:val="none"/>
                <w:shd w:val="clear" w:color="auto" w:fill="auto"/>
                <w:lang w:val="en-US" w:eastAsia="zh-CN"/>
              </w:rPr>
              <w:t>行政处罚</w:t>
            </w: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428378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A1CCD0F">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57F5C18A">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376301EE">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r>
      <w:tr w14:paraId="65F7B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71"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2F27BB86">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4EAB9D9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3300" w:type="dxa"/>
            <w:vMerge w:val="continue"/>
            <w:tcBorders>
              <w:left w:val="single" w:color="000000" w:sz="4" w:space="0"/>
              <w:right w:val="nil"/>
            </w:tcBorders>
            <w:tcMar>
              <w:top w:w="15" w:type="dxa"/>
              <w:left w:w="15" w:type="dxa"/>
              <w:right w:w="15" w:type="dxa"/>
            </w:tcMar>
            <w:vAlign w:val="center"/>
          </w:tcPr>
          <w:p w14:paraId="6BB3F643">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245237B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D89C69F">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DD06CB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649ED60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4D21CD4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58722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0DDD23D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39D97C8D">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556EC86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2D82B75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B0E451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052EE30">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7B09B2B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2A97B252">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33E5B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04C3F99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1DC8196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1A0AF37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7806D95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F72D18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9F70E18">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30AB2CDD">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3AE9362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78EDA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40AD7A1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73FB919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val="en-US" w:eastAsia="zh-CN"/>
              </w:rPr>
            </w:pPr>
            <w:r>
              <w:rPr>
                <w:rFonts w:hint="eastAsia" w:ascii="宋体" w:hAnsi="宋体" w:eastAsia="宋体" w:cs="宋体"/>
                <w:color w:val="auto"/>
                <w:sz w:val="20"/>
                <w:szCs w:val="20"/>
                <w:highlight w:val="none"/>
                <w:shd w:val="clear" w:color="auto" w:fill="auto"/>
                <w:lang w:val="en-US" w:eastAsia="zh-CN"/>
              </w:rPr>
              <w:t>调整情况：取消</w:t>
            </w:r>
          </w:p>
        </w:tc>
      </w:tr>
      <w:tr w14:paraId="2E410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14:paraId="1B4A0B3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FD9714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default" w:ascii="宋体" w:hAnsi="宋体" w:eastAsia="宋体" w:cs="宋体"/>
                <w:color w:val="auto"/>
                <w:sz w:val="20"/>
                <w:szCs w:val="20"/>
                <w:highlight w:val="none"/>
                <w:shd w:val="clear" w:color="auto" w:fill="auto"/>
                <w:lang w:val="en-US" w:eastAsia="zh-CN"/>
              </w:rPr>
            </w:pPr>
            <w:r>
              <w:rPr>
                <w:rFonts w:hint="eastAsia" w:ascii="宋体" w:hAnsi="宋体" w:eastAsia="宋体" w:cs="宋体"/>
                <w:color w:val="auto"/>
                <w:sz w:val="20"/>
                <w:szCs w:val="20"/>
                <w:highlight w:val="none"/>
                <w:shd w:val="clear" w:color="auto" w:fill="auto"/>
                <w:lang w:eastAsia="zh-CN"/>
              </w:rPr>
              <w:t>调整原因：根据市交通运输局权责清单动态调整，</w:t>
            </w:r>
            <w:r>
              <w:rPr>
                <w:rFonts w:hint="eastAsia" w:ascii="宋体" w:hAnsi="宋体" w:eastAsia="宋体" w:cs="宋体"/>
                <w:color w:val="auto"/>
                <w:sz w:val="20"/>
                <w:szCs w:val="20"/>
                <w:highlight w:val="none"/>
                <w:shd w:val="clear" w:color="auto" w:fill="auto"/>
                <w:lang w:val="en-US" w:eastAsia="zh-CN"/>
              </w:rPr>
              <w:t>辖区未开展水路运输业务无处罚对象。</w:t>
            </w:r>
          </w:p>
        </w:tc>
      </w:tr>
    </w:tbl>
    <w:p w14:paraId="2F69CBAF">
      <w:pPr>
        <w:rPr>
          <w:color w:val="auto"/>
        </w:rPr>
      </w:pPr>
    </w:p>
    <w:p w14:paraId="1DA6A23B">
      <w:pPr>
        <w:rPr>
          <w:color w:val="auto"/>
        </w:rPr>
      </w:pPr>
    </w:p>
    <w:tbl>
      <w:tblPr>
        <w:tblStyle w:val="3"/>
        <w:tblW w:w="154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44"/>
        <w:gridCol w:w="1847"/>
        <w:gridCol w:w="3300"/>
        <w:gridCol w:w="1059"/>
        <w:gridCol w:w="1485"/>
        <w:gridCol w:w="3323"/>
        <w:gridCol w:w="1646"/>
        <w:gridCol w:w="1646"/>
      </w:tblGrid>
      <w:tr w14:paraId="0C90F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11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94D9F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黑体" w:hAnsi="黑体" w:eastAsia="黑体" w:cs="黑体"/>
                <w:b w:val="0"/>
                <w:bCs w:val="0"/>
                <w:i w:val="0"/>
                <w:color w:val="auto"/>
                <w:kern w:val="0"/>
                <w:sz w:val="44"/>
                <w:szCs w:val="44"/>
                <w:highlight w:val="none"/>
                <w:u w:val="none"/>
                <w:shd w:val="clear" w:color="auto" w:fill="auto"/>
                <w:lang w:val="en-US" w:eastAsia="zh-CN"/>
              </w:rPr>
              <w:t xml:space="preserve"> </w:t>
            </w:r>
            <w:r>
              <w:rPr>
                <w:rFonts w:hint="eastAsia" w:ascii="宋体" w:hAnsi="宋体" w:eastAsia="宋体" w:cs="宋体"/>
                <w:b/>
                <w:bCs/>
                <w:i w:val="0"/>
                <w:color w:val="auto"/>
                <w:kern w:val="0"/>
                <w:sz w:val="20"/>
                <w:szCs w:val="20"/>
                <w:highlight w:val="none"/>
                <w:u w:val="none"/>
                <w:shd w:val="clear" w:color="auto" w:fill="auto"/>
                <w:lang w:val="en-US" w:eastAsia="zh-CN"/>
              </w:rPr>
              <w:t>序号</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B0263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项目名称</w:t>
            </w:r>
          </w:p>
        </w:tc>
        <w:tc>
          <w:tcPr>
            <w:tcW w:w="33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9F04E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实施依据</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991AB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职权</w:t>
            </w:r>
          </w:p>
          <w:p w14:paraId="10D5235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类别</w:t>
            </w:r>
          </w:p>
        </w:tc>
        <w:tc>
          <w:tcPr>
            <w:tcW w:w="14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1289EF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办理环节</w:t>
            </w:r>
          </w:p>
        </w:tc>
        <w:tc>
          <w:tcPr>
            <w:tcW w:w="332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56FE18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责任事项</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12F0C7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追责情形</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F0135B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责任科室</w:t>
            </w:r>
          </w:p>
        </w:tc>
      </w:tr>
      <w:tr w14:paraId="2403C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41" w:hRule="atLeast"/>
          <w:jc w:val="center"/>
        </w:trPr>
        <w:tc>
          <w:tcPr>
            <w:tcW w:w="114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FEE05A6">
            <w:pPr>
              <w:keepNext w:val="0"/>
              <w:keepLines w:val="0"/>
              <w:pageBreakBefore w:val="0"/>
              <w:kinsoku/>
              <w:wordWrap/>
              <w:topLinePunct w:val="0"/>
              <w:autoSpaceDE/>
              <w:autoSpaceDN/>
              <w:bidi w:val="0"/>
              <w:adjustRightInd/>
              <w:snapToGrid/>
              <w:spacing w:before="0" w:beforeLines="0" w:after="0" w:afterLines="0" w:line="240" w:lineRule="auto"/>
              <w:ind w:left="0" w:leftChars="0" w:right="0" w:rightChars="0" w:firstLine="0" w:firstLineChars="0"/>
              <w:jc w:val="center"/>
              <w:outlineLvl w:val="9"/>
              <w:rPr>
                <w:rFonts w:hint="default"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i w:val="0"/>
                <w:caps w:val="0"/>
                <w:color w:val="auto"/>
                <w:spacing w:val="0"/>
                <w:sz w:val="20"/>
                <w:szCs w:val="20"/>
                <w:highlight w:val="none"/>
                <w:shd w:val="clear" w:color="auto" w:fill="auto"/>
                <w:lang w:val="en-US" w:eastAsia="zh-CN"/>
              </w:rPr>
              <w:t>11</w:t>
            </w:r>
          </w:p>
        </w:tc>
        <w:tc>
          <w:tcPr>
            <w:tcW w:w="1847"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2F238A4">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i w:val="0"/>
                <w:caps w:val="0"/>
                <w:color w:val="auto"/>
                <w:spacing w:val="0"/>
                <w:sz w:val="20"/>
                <w:szCs w:val="20"/>
                <w:highlight w:val="none"/>
                <w:shd w:val="clear" w:color="auto" w:fill="auto"/>
                <w:lang w:eastAsia="zh-CN"/>
              </w:rPr>
            </w:pPr>
            <w:r>
              <w:rPr>
                <w:rFonts w:hint="eastAsia" w:ascii="宋体" w:hAnsi="宋体" w:eastAsia="宋体" w:cs="宋体"/>
                <w:b w:val="0"/>
                <w:bCs w:val="0"/>
                <w:color w:val="auto"/>
                <w:sz w:val="20"/>
                <w:szCs w:val="20"/>
                <w:highlight w:val="none"/>
                <w:u w:val="none"/>
                <w:shd w:val="clear" w:color="auto" w:fill="auto"/>
                <w:lang w:eastAsia="zh-CN"/>
              </w:rPr>
              <w:t>超载运输货物、旅客,或者违反国家规定运输禁运、限运的货物的;跨航区、航线运输的;运载牛、马等大牲畜时,同时搭载其他乘客;运载机动车辆时,未进行人车分离的处罚</w:t>
            </w:r>
          </w:p>
        </w:tc>
        <w:tc>
          <w:tcPr>
            <w:tcW w:w="3300" w:type="dxa"/>
            <w:vMerge w:val="restart"/>
            <w:tcBorders>
              <w:top w:val="single" w:color="000000" w:sz="4" w:space="0"/>
              <w:left w:val="single" w:color="000000" w:sz="4" w:space="0"/>
              <w:right w:val="nil"/>
            </w:tcBorders>
            <w:tcMar>
              <w:top w:w="15" w:type="dxa"/>
              <w:left w:w="15" w:type="dxa"/>
              <w:right w:w="15" w:type="dxa"/>
            </w:tcMar>
            <w:vAlign w:val="center"/>
          </w:tcPr>
          <w:p w14:paraId="68A2E5D8">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b w:val="0"/>
                <w:bCs w:val="0"/>
                <w:color w:val="auto"/>
                <w:sz w:val="20"/>
                <w:szCs w:val="20"/>
                <w:highlight w:val="none"/>
                <w:u w:val="none"/>
                <w:shd w:val="clear" w:color="auto" w:fill="auto"/>
                <w:lang w:val="en-US" w:eastAsia="zh-CN"/>
              </w:rPr>
            </w:pPr>
            <w:r>
              <w:rPr>
                <w:rFonts w:hint="eastAsia" w:ascii="宋体" w:hAnsi="宋体" w:eastAsia="宋体" w:cs="宋体"/>
                <w:b w:val="0"/>
                <w:bCs w:val="0"/>
                <w:color w:val="auto"/>
                <w:sz w:val="20"/>
                <w:szCs w:val="20"/>
                <w:highlight w:val="none"/>
                <w:u w:val="none"/>
                <w:shd w:val="clear" w:color="auto" w:fill="auto"/>
                <w:lang w:val="en-US" w:eastAsia="zh-CN"/>
              </w:rPr>
              <w:t>《河南省水路交通管理办法》（河南省人民政府令2011年第138号）第三十六条：“违反本办法规定,有下列行为之一的,由交通运输执法人员按照规定采取相应的强制措施,及时纠正违法行为,消除安全隐患;对船舶经营人或者所有人由县级以上交通运输行政主管部门处以500元以上2000元以下的罚款:</w:t>
            </w:r>
          </w:p>
          <w:p w14:paraId="1DE7D059">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b w:val="0"/>
                <w:bCs w:val="0"/>
                <w:color w:val="auto"/>
                <w:sz w:val="20"/>
                <w:szCs w:val="20"/>
                <w:highlight w:val="none"/>
                <w:u w:val="none"/>
                <w:shd w:val="clear" w:color="auto" w:fill="auto"/>
                <w:lang w:val="en-US" w:eastAsia="zh-CN"/>
              </w:rPr>
            </w:pPr>
            <w:r>
              <w:rPr>
                <w:rFonts w:hint="eastAsia" w:ascii="宋体" w:hAnsi="宋体" w:eastAsia="宋体" w:cs="宋体"/>
                <w:b w:val="0"/>
                <w:bCs w:val="0"/>
                <w:color w:val="auto"/>
                <w:sz w:val="20"/>
                <w:szCs w:val="20"/>
                <w:highlight w:val="none"/>
                <w:u w:val="none"/>
                <w:shd w:val="clear" w:color="auto" w:fill="auto"/>
                <w:lang w:val="en-US" w:eastAsia="zh-CN"/>
              </w:rPr>
              <w:t>(一)超载运输货物、旅客,或者违反国家规定运输禁运、限运的货物的;</w:t>
            </w:r>
          </w:p>
          <w:p w14:paraId="3AE6E702">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b w:val="0"/>
                <w:bCs w:val="0"/>
                <w:color w:val="auto"/>
                <w:sz w:val="20"/>
                <w:szCs w:val="20"/>
                <w:highlight w:val="none"/>
                <w:u w:val="none"/>
                <w:shd w:val="clear" w:color="auto" w:fill="auto"/>
                <w:lang w:val="en-US" w:eastAsia="zh-CN"/>
              </w:rPr>
            </w:pPr>
            <w:r>
              <w:rPr>
                <w:rFonts w:hint="eastAsia" w:ascii="宋体" w:hAnsi="宋体" w:eastAsia="宋体" w:cs="宋体"/>
                <w:b w:val="0"/>
                <w:bCs w:val="0"/>
                <w:color w:val="auto"/>
                <w:sz w:val="20"/>
                <w:szCs w:val="20"/>
                <w:highlight w:val="none"/>
                <w:u w:val="none"/>
                <w:shd w:val="clear" w:color="auto" w:fill="auto"/>
                <w:lang w:val="en-US" w:eastAsia="zh-CN"/>
              </w:rPr>
              <w:t>(二)跨航区、航线运输的;</w:t>
            </w:r>
          </w:p>
          <w:p w14:paraId="749DAAD9">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i w:val="0"/>
                <w:caps w:val="0"/>
                <w:color w:val="auto"/>
                <w:spacing w:val="0"/>
                <w:sz w:val="20"/>
                <w:szCs w:val="20"/>
                <w:highlight w:val="none"/>
                <w:shd w:val="clear" w:color="auto" w:fill="auto"/>
              </w:rPr>
            </w:pPr>
            <w:r>
              <w:rPr>
                <w:rFonts w:hint="eastAsia" w:ascii="宋体" w:hAnsi="宋体" w:eastAsia="宋体" w:cs="宋体"/>
                <w:b w:val="0"/>
                <w:bCs w:val="0"/>
                <w:color w:val="auto"/>
                <w:sz w:val="20"/>
                <w:szCs w:val="20"/>
                <w:highlight w:val="none"/>
                <w:u w:val="none"/>
                <w:shd w:val="clear" w:color="auto" w:fill="auto"/>
                <w:lang w:val="en-US" w:eastAsia="zh-CN"/>
              </w:rPr>
              <w:t>(三)运载牛、马等大牲畜时,同时搭载其他乘客;运载机动车辆时,未进行人车分离的。</w:t>
            </w:r>
          </w:p>
        </w:tc>
        <w:tc>
          <w:tcPr>
            <w:tcW w:w="1059" w:type="dxa"/>
            <w:vMerge w:val="restart"/>
            <w:tcBorders>
              <w:top w:val="single" w:color="000000" w:sz="4" w:space="0"/>
              <w:left w:val="single" w:color="000000" w:sz="4" w:space="0"/>
              <w:right w:val="single" w:color="auto" w:sz="4" w:space="0"/>
            </w:tcBorders>
            <w:tcMar>
              <w:top w:w="15" w:type="dxa"/>
              <w:left w:w="15" w:type="dxa"/>
              <w:right w:w="15" w:type="dxa"/>
            </w:tcMar>
            <w:vAlign w:val="center"/>
          </w:tcPr>
          <w:p w14:paraId="5277463E">
            <w:pPr>
              <w:keepNext w:val="0"/>
              <w:keepLines w:val="0"/>
              <w:pageBreakBefore w:val="0"/>
              <w:widowControl/>
              <w:suppressLineNumbers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b w:val="0"/>
                <w:bCs w:val="0"/>
                <w:color w:val="auto"/>
                <w:sz w:val="20"/>
                <w:szCs w:val="20"/>
                <w:highlight w:val="none"/>
                <w:shd w:val="clear" w:color="auto" w:fill="auto"/>
                <w:lang w:eastAsia="zh-CN"/>
              </w:rPr>
              <w:t>行政处罚</w:t>
            </w: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791859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DBD65C3">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297142A4">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5C6C354A">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r>
      <w:tr w14:paraId="5FEBE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71"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167D1F9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0E39F67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3300" w:type="dxa"/>
            <w:vMerge w:val="continue"/>
            <w:tcBorders>
              <w:left w:val="single" w:color="000000" w:sz="4" w:space="0"/>
              <w:right w:val="nil"/>
            </w:tcBorders>
            <w:tcMar>
              <w:top w:w="15" w:type="dxa"/>
              <w:left w:w="15" w:type="dxa"/>
              <w:right w:w="15" w:type="dxa"/>
            </w:tcMar>
            <w:vAlign w:val="center"/>
          </w:tcPr>
          <w:p w14:paraId="0EDA4B4A">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3CE75838">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0E32B2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138E464">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3C1EC960">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32D89F1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74808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034B99E3">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69A2257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46BD00B4">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494C70E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9B1F88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2B8806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4366F7A3">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365F839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26D51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746B747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3936DD03">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1A3A297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27072AE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3FD5DB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22305A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500EC0A6">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7866B6E4">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5578E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7932899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75AFA9F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default" w:ascii="宋体" w:hAnsi="宋体" w:eastAsia="宋体" w:cs="宋体"/>
                <w:color w:val="auto"/>
                <w:sz w:val="20"/>
                <w:szCs w:val="20"/>
                <w:highlight w:val="none"/>
                <w:shd w:val="clear" w:color="auto" w:fill="auto"/>
                <w:lang w:val="en-US" w:eastAsia="zh-CN"/>
              </w:rPr>
            </w:pPr>
            <w:r>
              <w:rPr>
                <w:rFonts w:hint="eastAsia" w:ascii="宋体" w:hAnsi="宋体" w:eastAsia="宋体" w:cs="宋体"/>
                <w:color w:val="auto"/>
                <w:sz w:val="20"/>
                <w:szCs w:val="20"/>
                <w:highlight w:val="none"/>
                <w:shd w:val="clear" w:color="auto" w:fill="auto"/>
                <w:lang w:val="en-US" w:eastAsia="zh-CN"/>
              </w:rPr>
              <w:t>调整情况：取消</w:t>
            </w:r>
          </w:p>
        </w:tc>
      </w:tr>
      <w:tr w14:paraId="7EAC4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14:paraId="2CF087B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D3CC69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lang w:eastAsia="zh-CN"/>
              </w:rPr>
              <w:t>调整原因：根据市交通运输局权责清单动态调整，</w:t>
            </w:r>
            <w:r>
              <w:rPr>
                <w:rFonts w:hint="eastAsia" w:ascii="宋体" w:hAnsi="宋体" w:eastAsia="宋体" w:cs="宋体"/>
                <w:color w:val="auto"/>
                <w:sz w:val="20"/>
                <w:szCs w:val="20"/>
                <w:highlight w:val="none"/>
                <w:shd w:val="clear" w:color="auto" w:fill="auto"/>
                <w:lang w:val="en-US" w:eastAsia="zh-CN"/>
              </w:rPr>
              <w:t>辖区未开展水路运输业务无处罚对象。</w:t>
            </w:r>
          </w:p>
        </w:tc>
      </w:tr>
    </w:tbl>
    <w:p w14:paraId="5A75221A">
      <w:pPr>
        <w:rPr>
          <w:color w:val="auto"/>
        </w:rPr>
      </w:pPr>
    </w:p>
    <w:p w14:paraId="3A1386A8">
      <w:pPr>
        <w:rPr>
          <w:color w:val="auto"/>
        </w:rPr>
      </w:pPr>
    </w:p>
    <w:tbl>
      <w:tblPr>
        <w:tblStyle w:val="3"/>
        <w:tblW w:w="154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44"/>
        <w:gridCol w:w="1847"/>
        <w:gridCol w:w="3300"/>
        <w:gridCol w:w="1059"/>
        <w:gridCol w:w="1485"/>
        <w:gridCol w:w="3323"/>
        <w:gridCol w:w="1646"/>
        <w:gridCol w:w="1646"/>
      </w:tblGrid>
      <w:tr w14:paraId="6C4F3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11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59F56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黑体" w:hAnsi="黑体" w:eastAsia="黑体" w:cs="黑体"/>
                <w:b w:val="0"/>
                <w:bCs w:val="0"/>
                <w:i w:val="0"/>
                <w:color w:val="auto"/>
                <w:kern w:val="0"/>
                <w:sz w:val="44"/>
                <w:szCs w:val="44"/>
                <w:highlight w:val="none"/>
                <w:u w:val="none"/>
                <w:shd w:val="clear" w:color="auto" w:fill="auto"/>
                <w:lang w:val="en-US" w:eastAsia="zh-CN"/>
              </w:rPr>
              <w:t xml:space="preserve"> </w:t>
            </w:r>
            <w:r>
              <w:rPr>
                <w:rFonts w:hint="eastAsia" w:ascii="宋体" w:hAnsi="宋体" w:eastAsia="宋体" w:cs="宋体"/>
                <w:b/>
                <w:bCs/>
                <w:i w:val="0"/>
                <w:color w:val="auto"/>
                <w:kern w:val="0"/>
                <w:sz w:val="20"/>
                <w:szCs w:val="20"/>
                <w:highlight w:val="none"/>
                <w:u w:val="none"/>
                <w:shd w:val="clear" w:color="auto" w:fill="auto"/>
                <w:lang w:val="en-US" w:eastAsia="zh-CN"/>
              </w:rPr>
              <w:t>序号</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02CEE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项目名称</w:t>
            </w:r>
          </w:p>
        </w:tc>
        <w:tc>
          <w:tcPr>
            <w:tcW w:w="33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B09F0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实施依据</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E8DB7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职权</w:t>
            </w:r>
          </w:p>
          <w:p w14:paraId="5C9CAD5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类别</w:t>
            </w:r>
          </w:p>
        </w:tc>
        <w:tc>
          <w:tcPr>
            <w:tcW w:w="14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A7DD73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办理环节</w:t>
            </w:r>
          </w:p>
        </w:tc>
        <w:tc>
          <w:tcPr>
            <w:tcW w:w="332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74809C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责任事项</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764FE7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追责情形</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1A6AFC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责任科室</w:t>
            </w:r>
          </w:p>
        </w:tc>
      </w:tr>
      <w:tr w14:paraId="4AF95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41" w:hRule="atLeast"/>
          <w:jc w:val="center"/>
        </w:trPr>
        <w:tc>
          <w:tcPr>
            <w:tcW w:w="114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749764A">
            <w:pPr>
              <w:keepNext w:val="0"/>
              <w:keepLines w:val="0"/>
              <w:pageBreakBefore w:val="0"/>
              <w:kinsoku/>
              <w:wordWrap/>
              <w:topLinePunct w:val="0"/>
              <w:autoSpaceDE/>
              <w:autoSpaceDN/>
              <w:bidi w:val="0"/>
              <w:adjustRightInd/>
              <w:snapToGrid/>
              <w:spacing w:before="0" w:beforeLines="0" w:after="0" w:afterLines="0" w:line="240" w:lineRule="auto"/>
              <w:ind w:left="0" w:leftChars="0" w:right="0" w:rightChars="0" w:firstLine="0" w:firstLineChars="0"/>
              <w:jc w:val="center"/>
              <w:outlineLvl w:val="9"/>
              <w:rPr>
                <w:rFonts w:hint="default"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i w:val="0"/>
                <w:caps w:val="0"/>
                <w:color w:val="auto"/>
                <w:spacing w:val="0"/>
                <w:sz w:val="20"/>
                <w:szCs w:val="20"/>
                <w:highlight w:val="none"/>
                <w:shd w:val="clear" w:color="auto" w:fill="auto"/>
                <w:lang w:val="en-US" w:eastAsia="zh-CN"/>
              </w:rPr>
              <w:t>12</w:t>
            </w:r>
          </w:p>
        </w:tc>
        <w:tc>
          <w:tcPr>
            <w:tcW w:w="1847"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6D16CD1">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i w:val="0"/>
                <w:caps w:val="0"/>
                <w:color w:val="auto"/>
                <w:spacing w:val="0"/>
                <w:sz w:val="20"/>
                <w:szCs w:val="20"/>
                <w:highlight w:val="none"/>
                <w:shd w:val="clear" w:color="auto" w:fill="auto"/>
                <w:lang w:eastAsia="zh-CN"/>
              </w:rPr>
            </w:pPr>
            <w:r>
              <w:rPr>
                <w:rFonts w:hint="eastAsia" w:ascii="宋体" w:hAnsi="宋体" w:eastAsia="宋体" w:cs="宋体"/>
                <w:b w:val="0"/>
                <w:bCs w:val="0"/>
                <w:color w:val="auto"/>
                <w:sz w:val="20"/>
                <w:szCs w:val="20"/>
                <w:highlight w:val="none"/>
                <w:u w:val="none"/>
                <w:shd w:val="clear" w:color="auto" w:fill="auto"/>
                <w:lang w:eastAsia="zh-CN"/>
              </w:rPr>
              <w:t>夜航或者在浓雾、暴雨、大风等达不到适航要求的条件下航行的;非客运船舶载客的;不具备驾驶资格的人员驾驶船舶的处罚</w:t>
            </w:r>
          </w:p>
        </w:tc>
        <w:tc>
          <w:tcPr>
            <w:tcW w:w="3300" w:type="dxa"/>
            <w:vMerge w:val="restart"/>
            <w:tcBorders>
              <w:top w:val="single" w:color="000000" w:sz="4" w:space="0"/>
              <w:left w:val="single" w:color="000000" w:sz="4" w:space="0"/>
              <w:right w:val="nil"/>
            </w:tcBorders>
            <w:tcMar>
              <w:top w:w="15" w:type="dxa"/>
              <w:left w:w="15" w:type="dxa"/>
              <w:right w:w="15" w:type="dxa"/>
            </w:tcMar>
            <w:vAlign w:val="center"/>
          </w:tcPr>
          <w:p w14:paraId="2F0FD0CC">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b w:val="0"/>
                <w:bCs w:val="0"/>
                <w:color w:val="auto"/>
                <w:sz w:val="20"/>
                <w:szCs w:val="20"/>
                <w:highlight w:val="none"/>
                <w:u w:val="none"/>
                <w:shd w:val="clear" w:color="auto" w:fill="auto"/>
                <w:lang w:val="en-US" w:eastAsia="zh-CN"/>
              </w:rPr>
            </w:pPr>
            <w:r>
              <w:rPr>
                <w:rFonts w:hint="eastAsia" w:ascii="宋体" w:hAnsi="宋体" w:eastAsia="宋体" w:cs="宋体"/>
                <w:b w:val="0"/>
                <w:bCs w:val="0"/>
                <w:color w:val="auto"/>
                <w:sz w:val="20"/>
                <w:szCs w:val="20"/>
                <w:highlight w:val="none"/>
                <w:u w:val="none"/>
                <w:shd w:val="clear" w:color="auto" w:fill="auto"/>
                <w:lang w:val="en-US" w:eastAsia="zh-CN"/>
              </w:rPr>
              <w:t>河南省水路交通管理办法》（河南省人民政府令2011年第138号）第三十七条：“违反本办法规定,有下列行为之一的,由交通运输执法人员按照规定采取相应的强制措施,及时纠正违法行为,消除安全隐患;对船舶经营人或者所有人由县级以上交通运输行政主管部门处以2000元以上10000元以下的罚款:</w:t>
            </w:r>
          </w:p>
          <w:p w14:paraId="4B54C806">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b w:val="0"/>
                <w:bCs w:val="0"/>
                <w:color w:val="auto"/>
                <w:sz w:val="20"/>
                <w:szCs w:val="20"/>
                <w:highlight w:val="none"/>
                <w:u w:val="none"/>
                <w:shd w:val="clear" w:color="auto" w:fill="auto"/>
                <w:lang w:val="en-US" w:eastAsia="zh-CN"/>
              </w:rPr>
            </w:pPr>
            <w:r>
              <w:rPr>
                <w:rFonts w:hint="eastAsia" w:ascii="宋体" w:hAnsi="宋体" w:eastAsia="宋体" w:cs="宋体"/>
                <w:b w:val="0"/>
                <w:bCs w:val="0"/>
                <w:color w:val="auto"/>
                <w:sz w:val="20"/>
                <w:szCs w:val="20"/>
                <w:highlight w:val="none"/>
                <w:u w:val="none"/>
                <w:shd w:val="clear" w:color="auto" w:fill="auto"/>
                <w:lang w:val="en-US" w:eastAsia="zh-CN"/>
              </w:rPr>
              <w:t>(一)夜航或者在浓雾、暴雨、大风等达不到适航要求的条件下航行的;</w:t>
            </w:r>
          </w:p>
          <w:p w14:paraId="5832F084">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b w:val="0"/>
                <w:bCs w:val="0"/>
                <w:color w:val="auto"/>
                <w:sz w:val="20"/>
                <w:szCs w:val="20"/>
                <w:highlight w:val="none"/>
                <w:u w:val="none"/>
                <w:shd w:val="clear" w:color="auto" w:fill="auto"/>
                <w:lang w:val="en-US" w:eastAsia="zh-CN"/>
              </w:rPr>
            </w:pPr>
            <w:r>
              <w:rPr>
                <w:rFonts w:hint="eastAsia" w:ascii="宋体" w:hAnsi="宋体" w:eastAsia="宋体" w:cs="宋体"/>
                <w:b w:val="0"/>
                <w:bCs w:val="0"/>
                <w:color w:val="auto"/>
                <w:sz w:val="20"/>
                <w:szCs w:val="20"/>
                <w:highlight w:val="none"/>
                <w:u w:val="none"/>
                <w:shd w:val="clear" w:color="auto" w:fill="auto"/>
                <w:lang w:val="en-US" w:eastAsia="zh-CN"/>
              </w:rPr>
              <w:t>(二)非客运船舶载客的;</w:t>
            </w:r>
          </w:p>
          <w:p w14:paraId="0CBFB49A">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i w:val="0"/>
                <w:caps w:val="0"/>
                <w:color w:val="auto"/>
                <w:spacing w:val="0"/>
                <w:sz w:val="20"/>
                <w:szCs w:val="20"/>
                <w:highlight w:val="none"/>
                <w:shd w:val="clear" w:color="auto" w:fill="auto"/>
              </w:rPr>
            </w:pPr>
            <w:r>
              <w:rPr>
                <w:rFonts w:hint="eastAsia" w:ascii="宋体" w:hAnsi="宋体" w:eastAsia="宋体" w:cs="宋体"/>
                <w:b w:val="0"/>
                <w:bCs w:val="0"/>
                <w:color w:val="auto"/>
                <w:sz w:val="20"/>
                <w:szCs w:val="20"/>
                <w:highlight w:val="none"/>
                <w:u w:val="none"/>
                <w:shd w:val="clear" w:color="auto" w:fill="auto"/>
                <w:lang w:val="en-US" w:eastAsia="zh-CN"/>
              </w:rPr>
              <w:t>(三)不具备驾驶资格的人员驾驶船舶的。”</w:t>
            </w:r>
          </w:p>
        </w:tc>
        <w:tc>
          <w:tcPr>
            <w:tcW w:w="1059" w:type="dxa"/>
            <w:vMerge w:val="restart"/>
            <w:tcBorders>
              <w:top w:val="single" w:color="000000" w:sz="4" w:space="0"/>
              <w:left w:val="single" w:color="000000" w:sz="4" w:space="0"/>
              <w:right w:val="single" w:color="auto" w:sz="4" w:space="0"/>
            </w:tcBorders>
            <w:tcMar>
              <w:top w:w="15" w:type="dxa"/>
              <w:left w:w="15" w:type="dxa"/>
              <w:right w:w="15" w:type="dxa"/>
            </w:tcMar>
            <w:vAlign w:val="center"/>
          </w:tcPr>
          <w:p w14:paraId="3A31F7DA">
            <w:pPr>
              <w:keepNext w:val="0"/>
              <w:keepLines w:val="0"/>
              <w:pageBreakBefore w:val="0"/>
              <w:widowControl/>
              <w:suppressLineNumbers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b w:val="0"/>
                <w:bCs w:val="0"/>
                <w:color w:val="auto"/>
                <w:sz w:val="20"/>
                <w:szCs w:val="20"/>
                <w:highlight w:val="none"/>
                <w:shd w:val="clear" w:color="auto" w:fill="auto"/>
                <w:lang w:eastAsia="zh-CN"/>
              </w:rPr>
              <w:t>行政处罚</w:t>
            </w: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AD4E03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4C4E34A">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6A39C0E4">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1F4801F4">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r>
      <w:tr w14:paraId="1D47E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71"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2CDB4610">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740266C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3300" w:type="dxa"/>
            <w:vMerge w:val="continue"/>
            <w:tcBorders>
              <w:left w:val="single" w:color="000000" w:sz="4" w:space="0"/>
              <w:right w:val="nil"/>
            </w:tcBorders>
            <w:tcMar>
              <w:top w:w="15" w:type="dxa"/>
              <w:left w:w="15" w:type="dxa"/>
              <w:right w:w="15" w:type="dxa"/>
            </w:tcMar>
            <w:vAlign w:val="center"/>
          </w:tcPr>
          <w:p w14:paraId="749D7CB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0B53C23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64C9F68">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4F60083">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5D769F94">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6C8510B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5AA51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5A00614D">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3EE1D864">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3E022F8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0E93F31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9E7DA8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677969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63EB158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21A9A720">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06C7E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0F658AF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40AD8202">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0BD15C2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12A6C796">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F215873">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9387D6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3B936E70">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3CA22D3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76420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3908A3B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2EDF412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default" w:ascii="宋体" w:hAnsi="宋体" w:eastAsia="宋体" w:cs="宋体"/>
                <w:color w:val="auto"/>
                <w:sz w:val="20"/>
                <w:szCs w:val="20"/>
                <w:highlight w:val="none"/>
                <w:shd w:val="clear" w:color="auto" w:fill="auto"/>
                <w:lang w:val="en-US" w:eastAsia="zh-CN"/>
              </w:rPr>
            </w:pPr>
            <w:r>
              <w:rPr>
                <w:rFonts w:hint="eastAsia" w:ascii="宋体" w:hAnsi="宋体" w:eastAsia="宋体" w:cs="宋体"/>
                <w:color w:val="auto"/>
                <w:sz w:val="20"/>
                <w:szCs w:val="20"/>
                <w:highlight w:val="none"/>
                <w:shd w:val="clear" w:color="auto" w:fill="auto"/>
                <w:lang w:val="en-US" w:eastAsia="zh-CN"/>
              </w:rPr>
              <w:t>调整情况：取消</w:t>
            </w:r>
          </w:p>
        </w:tc>
      </w:tr>
      <w:tr w14:paraId="19CEB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14:paraId="0B1E53A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C1F615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lang w:eastAsia="zh-CN"/>
              </w:rPr>
              <w:t>调整原因：根据市交通运输局权责清单动态调整，</w:t>
            </w:r>
            <w:r>
              <w:rPr>
                <w:rFonts w:hint="eastAsia" w:ascii="宋体" w:hAnsi="宋体" w:eastAsia="宋体" w:cs="宋体"/>
                <w:color w:val="auto"/>
                <w:sz w:val="20"/>
                <w:szCs w:val="20"/>
                <w:highlight w:val="none"/>
                <w:shd w:val="clear" w:color="auto" w:fill="auto"/>
                <w:lang w:val="en-US" w:eastAsia="zh-CN"/>
              </w:rPr>
              <w:t>辖区未开展水路运输业务无处罚对象。</w:t>
            </w:r>
          </w:p>
        </w:tc>
      </w:tr>
    </w:tbl>
    <w:p w14:paraId="2CF897D7">
      <w:pPr>
        <w:rPr>
          <w:color w:val="auto"/>
        </w:rPr>
      </w:pPr>
    </w:p>
    <w:p w14:paraId="69915B73">
      <w:pPr>
        <w:rPr>
          <w:color w:val="auto"/>
        </w:rPr>
      </w:pPr>
    </w:p>
    <w:tbl>
      <w:tblPr>
        <w:tblStyle w:val="3"/>
        <w:tblW w:w="154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44"/>
        <w:gridCol w:w="1847"/>
        <w:gridCol w:w="3300"/>
        <w:gridCol w:w="1059"/>
        <w:gridCol w:w="1485"/>
        <w:gridCol w:w="3323"/>
        <w:gridCol w:w="1646"/>
        <w:gridCol w:w="1646"/>
      </w:tblGrid>
      <w:tr w14:paraId="5A8E7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11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63F32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黑体" w:hAnsi="黑体" w:eastAsia="黑体" w:cs="黑体"/>
                <w:b w:val="0"/>
                <w:bCs w:val="0"/>
                <w:i w:val="0"/>
                <w:color w:val="auto"/>
                <w:kern w:val="0"/>
                <w:sz w:val="44"/>
                <w:szCs w:val="44"/>
                <w:highlight w:val="none"/>
                <w:u w:val="none"/>
                <w:shd w:val="clear" w:color="auto" w:fill="auto"/>
                <w:lang w:val="en-US" w:eastAsia="zh-CN"/>
              </w:rPr>
              <w:t xml:space="preserve"> </w:t>
            </w:r>
            <w:r>
              <w:rPr>
                <w:rFonts w:hint="eastAsia" w:ascii="宋体" w:hAnsi="宋体" w:eastAsia="宋体" w:cs="宋体"/>
                <w:b/>
                <w:bCs/>
                <w:i w:val="0"/>
                <w:color w:val="auto"/>
                <w:kern w:val="0"/>
                <w:sz w:val="20"/>
                <w:szCs w:val="20"/>
                <w:highlight w:val="none"/>
                <w:u w:val="none"/>
                <w:shd w:val="clear" w:color="auto" w:fill="auto"/>
                <w:lang w:val="en-US" w:eastAsia="zh-CN"/>
              </w:rPr>
              <w:t>序号</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51C87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项目名称</w:t>
            </w:r>
          </w:p>
        </w:tc>
        <w:tc>
          <w:tcPr>
            <w:tcW w:w="33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65334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实施依据</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A4F17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职权</w:t>
            </w:r>
          </w:p>
          <w:p w14:paraId="14E3B6D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类别</w:t>
            </w:r>
          </w:p>
        </w:tc>
        <w:tc>
          <w:tcPr>
            <w:tcW w:w="14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17C720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办理环节</w:t>
            </w:r>
          </w:p>
        </w:tc>
        <w:tc>
          <w:tcPr>
            <w:tcW w:w="332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94A906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责任事项</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94468A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追责情形</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CBAFFD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责任科室</w:t>
            </w:r>
          </w:p>
        </w:tc>
      </w:tr>
      <w:tr w14:paraId="0E746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41" w:hRule="atLeast"/>
          <w:jc w:val="center"/>
        </w:trPr>
        <w:tc>
          <w:tcPr>
            <w:tcW w:w="114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55DBD2F">
            <w:pPr>
              <w:keepNext w:val="0"/>
              <w:keepLines w:val="0"/>
              <w:pageBreakBefore w:val="0"/>
              <w:kinsoku/>
              <w:wordWrap/>
              <w:topLinePunct w:val="0"/>
              <w:autoSpaceDE/>
              <w:autoSpaceDN/>
              <w:bidi w:val="0"/>
              <w:adjustRightInd/>
              <w:snapToGrid/>
              <w:spacing w:before="0" w:beforeLines="0" w:after="0" w:afterLines="0" w:line="240" w:lineRule="auto"/>
              <w:ind w:left="0" w:leftChars="0" w:right="0" w:rightChars="0" w:firstLine="0" w:firstLineChars="0"/>
              <w:jc w:val="center"/>
              <w:outlineLvl w:val="9"/>
              <w:rPr>
                <w:rFonts w:hint="default"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i w:val="0"/>
                <w:caps w:val="0"/>
                <w:color w:val="auto"/>
                <w:spacing w:val="0"/>
                <w:sz w:val="20"/>
                <w:szCs w:val="20"/>
                <w:highlight w:val="none"/>
                <w:shd w:val="clear" w:color="auto" w:fill="auto"/>
                <w:lang w:val="en-US" w:eastAsia="zh-CN"/>
              </w:rPr>
              <w:t>13</w:t>
            </w:r>
          </w:p>
        </w:tc>
        <w:tc>
          <w:tcPr>
            <w:tcW w:w="1847"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968FC9E">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i w:val="0"/>
                <w:caps w:val="0"/>
                <w:color w:val="auto"/>
                <w:spacing w:val="0"/>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rPr>
              <w:t>船员在船工作期间未携带规定的有效证件的处罚</w:t>
            </w:r>
          </w:p>
        </w:tc>
        <w:tc>
          <w:tcPr>
            <w:tcW w:w="3300" w:type="dxa"/>
            <w:vMerge w:val="restart"/>
            <w:tcBorders>
              <w:top w:val="single" w:color="000000" w:sz="4" w:space="0"/>
              <w:left w:val="single" w:color="000000" w:sz="4" w:space="0"/>
              <w:right w:val="nil"/>
            </w:tcBorders>
            <w:tcMar>
              <w:top w:w="15" w:type="dxa"/>
              <w:left w:w="15" w:type="dxa"/>
              <w:right w:w="15" w:type="dxa"/>
            </w:tcMar>
            <w:vAlign w:val="center"/>
          </w:tcPr>
          <w:p w14:paraId="3BFA29DC">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i w:val="0"/>
                <w:caps w:val="0"/>
                <w:color w:val="auto"/>
                <w:spacing w:val="0"/>
                <w:sz w:val="20"/>
                <w:szCs w:val="20"/>
                <w:highlight w:val="none"/>
                <w:shd w:val="clear" w:color="auto" w:fill="auto"/>
              </w:rPr>
            </w:pPr>
            <w:r>
              <w:rPr>
                <w:rFonts w:hint="eastAsia" w:ascii="宋体" w:hAnsi="宋体" w:eastAsia="宋体" w:cs="宋体"/>
                <w:color w:val="auto"/>
                <w:sz w:val="20"/>
                <w:szCs w:val="20"/>
                <w:highlight w:val="none"/>
                <w:shd w:val="clear" w:color="auto" w:fill="auto"/>
              </w:rPr>
              <w:t>中华人民共和国船员条例》（2020年3月27日国务院令第726号）第五十一条：”违反本条例的规定，船员在船工作期间未携带本条例规定的有效证件的，由海事管理机构责令改正，可以处2000元以下罚款。”</w:t>
            </w:r>
          </w:p>
        </w:tc>
        <w:tc>
          <w:tcPr>
            <w:tcW w:w="1059" w:type="dxa"/>
            <w:vMerge w:val="restart"/>
            <w:tcBorders>
              <w:top w:val="single" w:color="000000" w:sz="4" w:space="0"/>
              <w:left w:val="single" w:color="000000" w:sz="4" w:space="0"/>
              <w:right w:val="single" w:color="auto" w:sz="4" w:space="0"/>
            </w:tcBorders>
            <w:tcMar>
              <w:top w:w="15" w:type="dxa"/>
              <w:left w:w="15" w:type="dxa"/>
              <w:right w:w="15" w:type="dxa"/>
            </w:tcMar>
            <w:vAlign w:val="center"/>
          </w:tcPr>
          <w:p w14:paraId="78A1622F">
            <w:pPr>
              <w:keepNext w:val="0"/>
              <w:keepLines w:val="0"/>
              <w:pageBreakBefore w:val="0"/>
              <w:widowControl/>
              <w:suppressLineNumbers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b w:val="0"/>
                <w:bCs w:val="0"/>
                <w:color w:val="auto"/>
                <w:sz w:val="20"/>
                <w:szCs w:val="20"/>
                <w:highlight w:val="none"/>
                <w:shd w:val="clear" w:color="auto" w:fill="auto"/>
                <w:lang w:eastAsia="zh-CN"/>
              </w:rPr>
              <w:t>行政处罚</w:t>
            </w: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A9EECA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5F06B3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706718B9">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7A9F2F03">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r>
      <w:tr w14:paraId="717FC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71"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7644D330">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29B3E1A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3300" w:type="dxa"/>
            <w:vMerge w:val="continue"/>
            <w:tcBorders>
              <w:left w:val="single" w:color="000000" w:sz="4" w:space="0"/>
              <w:right w:val="nil"/>
            </w:tcBorders>
            <w:tcMar>
              <w:top w:w="15" w:type="dxa"/>
              <w:left w:w="15" w:type="dxa"/>
              <w:right w:w="15" w:type="dxa"/>
            </w:tcMar>
            <w:vAlign w:val="center"/>
          </w:tcPr>
          <w:p w14:paraId="4BADDB98">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3C6A01E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E7DDFF0">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A2C056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3DE8DBB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00480132">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6195E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6FF904F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36B9772A">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40E301C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0CE85A3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CB7A9CC">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4915DA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228E45E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45D76A70">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31F4C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3964EC6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3CBF7122">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3E6B0CB6">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2B4FD700">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0DC44D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B15E118">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1B6FB60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493CC9C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2D9A9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6B3CA39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4AA4A9C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default" w:ascii="宋体" w:hAnsi="宋体" w:eastAsia="宋体" w:cs="宋体"/>
                <w:color w:val="auto"/>
                <w:sz w:val="20"/>
                <w:szCs w:val="20"/>
                <w:highlight w:val="none"/>
                <w:shd w:val="clear" w:color="auto" w:fill="auto"/>
                <w:lang w:val="en-US" w:eastAsia="zh-CN"/>
              </w:rPr>
            </w:pPr>
            <w:r>
              <w:rPr>
                <w:rFonts w:hint="eastAsia" w:ascii="宋体" w:hAnsi="宋体" w:eastAsia="宋体" w:cs="宋体"/>
                <w:color w:val="auto"/>
                <w:sz w:val="20"/>
                <w:szCs w:val="20"/>
                <w:highlight w:val="none"/>
                <w:shd w:val="clear" w:color="auto" w:fill="auto"/>
                <w:lang w:val="en-US" w:eastAsia="zh-CN"/>
              </w:rPr>
              <w:t>调整情况：取消</w:t>
            </w:r>
          </w:p>
        </w:tc>
      </w:tr>
      <w:tr w14:paraId="32464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14:paraId="5F65448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A13DCA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lang w:eastAsia="zh-CN"/>
              </w:rPr>
              <w:t>调整原因：根据市交通运输局权责清单动态调整，</w:t>
            </w:r>
            <w:r>
              <w:rPr>
                <w:rFonts w:hint="eastAsia" w:ascii="宋体" w:hAnsi="宋体" w:eastAsia="宋体" w:cs="宋体"/>
                <w:color w:val="auto"/>
                <w:sz w:val="20"/>
                <w:szCs w:val="20"/>
                <w:highlight w:val="none"/>
                <w:shd w:val="clear" w:color="auto" w:fill="auto"/>
                <w:lang w:val="en-US" w:eastAsia="zh-CN"/>
              </w:rPr>
              <w:t>辖区未开展水路运输业务无处罚对象。</w:t>
            </w:r>
          </w:p>
        </w:tc>
      </w:tr>
    </w:tbl>
    <w:p w14:paraId="441BCA36">
      <w:pPr>
        <w:rPr>
          <w:color w:val="auto"/>
        </w:rPr>
      </w:pPr>
    </w:p>
    <w:p w14:paraId="5358FE67">
      <w:pPr>
        <w:rPr>
          <w:color w:val="auto"/>
        </w:rPr>
      </w:pPr>
    </w:p>
    <w:tbl>
      <w:tblPr>
        <w:tblStyle w:val="3"/>
        <w:tblW w:w="154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44"/>
        <w:gridCol w:w="1847"/>
        <w:gridCol w:w="3300"/>
        <w:gridCol w:w="1059"/>
        <w:gridCol w:w="1485"/>
        <w:gridCol w:w="3323"/>
        <w:gridCol w:w="1646"/>
        <w:gridCol w:w="1646"/>
      </w:tblGrid>
      <w:tr w14:paraId="67CEC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11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A03CC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黑体" w:hAnsi="黑体" w:eastAsia="黑体" w:cs="黑体"/>
                <w:b w:val="0"/>
                <w:bCs w:val="0"/>
                <w:i w:val="0"/>
                <w:color w:val="auto"/>
                <w:kern w:val="0"/>
                <w:sz w:val="44"/>
                <w:szCs w:val="44"/>
                <w:highlight w:val="none"/>
                <w:u w:val="none"/>
                <w:shd w:val="clear" w:color="auto" w:fill="auto"/>
                <w:lang w:val="en-US" w:eastAsia="zh-CN"/>
              </w:rPr>
              <w:t xml:space="preserve"> </w:t>
            </w:r>
            <w:r>
              <w:rPr>
                <w:rFonts w:hint="eastAsia" w:ascii="宋体" w:hAnsi="宋体" w:eastAsia="宋体" w:cs="宋体"/>
                <w:b/>
                <w:bCs/>
                <w:i w:val="0"/>
                <w:color w:val="auto"/>
                <w:kern w:val="0"/>
                <w:sz w:val="20"/>
                <w:szCs w:val="20"/>
                <w:highlight w:val="none"/>
                <w:u w:val="none"/>
                <w:shd w:val="clear" w:color="auto" w:fill="auto"/>
                <w:lang w:val="en-US" w:eastAsia="zh-CN"/>
              </w:rPr>
              <w:t>序号</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38682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项目名称</w:t>
            </w:r>
          </w:p>
        </w:tc>
        <w:tc>
          <w:tcPr>
            <w:tcW w:w="33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DA153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实施依据</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CDB4B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职权</w:t>
            </w:r>
          </w:p>
          <w:p w14:paraId="3412D6A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类别</w:t>
            </w:r>
          </w:p>
        </w:tc>
        <w:tc>
          <w:tcPr>
            <w:tcW w:w="14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810683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办理环节</w:t>
            </w:r>
          </w:p>
        </w:tc>
        <w:tc>
          <w:tcPr>
            <w:tcW w:w="332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DBE806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责任事项</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484F5C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kern w:val="0"/>
                <w:sz w:val="20"/>
                <w:szCs w:val="20"/>
                <w:highlight w:val="none"/>
                <w:u w:val="none"/>
                <w:shd w:val="clear" w:color="auto" w:fill="auto"/>
                <w:lang w:val="en-US" w:eastAsia="zh-CN"/>
              </w:rPr>
            </w:pPr>
            <w:r>
              <w:rPr>
                <w:rFonts w:hint="eastAsia" w:ascii="宋体" w:hAnsi="宋体" w:eastAsia="宋体" w:cs="宋体"/>
                <w:b/>
                <w:bCs/>
                <w:i w:val="0"/>
                <w:color w:val="auto"/>
                <w:kern w:val="0"/>
                <w:sz w:val="20"/>
                <w:szCs w:val="20"/>
                <w:highlight w:val="none"/>
                <w:u w:val="none"/>
                <w:shd w:val="clear" w:color="auto" w:fill="auto"/>
                <w:lang w:val="en-US" w:eastAsia="zh-CN"/>
              </w:rPr>
              <w:t>追责情形</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BB1234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color w:val="auto"/>
                <w:sz w:val="20"/>
                <w:szCs w:val="20"/>
                <w:highlight w:val="none"/>
                <w:u w:val="none"/>
                <w:shd w:val="clear" w:color="auto" w:fill="auto"/>
              </w:rPr>
            </w:pPr>
            <w:r>
              <w:rPr>
                <w:rFonts w:hint="eastAsia" w:ascii="宋体" w:hAnsi="宋体" w:eastAsia="宋体" w:cs="宋体"/>
                <w:b/>
                <w:bCs/>
                <w:i w:val="0"/>
                <w:color w:val="auto"/>
                <w:kern w:val="0"/>
                <w:sz w:val="20"/>
                <w:szCs w:val="20"/>
                <w:highlight w:val="none"/>
                <w:u w:val="none"/>
                <w:shd w:val="clear" w:color="auto" w:fill="auto"/>
                <w:lang w:val="en-US" w:eastAsia="zh-CN"/>
              </w:rPr>
              <w:t>责任科室</w:t>
            </w:r>
          </w:p>
        </w:tc>
      </w:tr>
      <w:tr w14:paraId="66B0F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41" w:hRule="atLeast"/>
          <w:jc w:val="center"/>
        </w:trPr>
        <w:tc>
          <w:tcPr>
            <w:tcW w:w="114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9935FB9">
            <w:pPr>
              <w:keepNext w:val="0"/>
              <w:keepLines w:val="0"/>
              <w:pageBreakBefore w:val="0"/>
              <w:kinsoku/>
              <w:wordWrap/>
              <w:topLinePunct w:val="0"/>
              <w:autoSpaceDE/>
              <w:autoSpaceDN/>
              <w:bidi w:val="0"/>
              <w:adjustRightInd/>
              <w:snapToGrid/>
              <w:spacing w:before="0" w:beforeLines="0" w:after="0" w:afterLines="0" w:line="240" w:lineRule="auto"/>
              <w:ind w:left="0" w:leftChars="0" w:right="0" w:rightChars="0" w:firstLine="0" w:firstLineChars="0"/>
              <w:jc w:val="center"/>
              <w:outlineLvl w:val="9"/>
              <w:rPr>
                <w:rFonts w:hint="default"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i w:val="0"/>
                <w:caps w:val="0"/>
                <w:color w:val="auto"/>
                <w:spacing w:val="0"/>
                <w:sz w:val="20"/>
                <w:szCs w:val="20"/>
                <w:highlight w:val="none"/>
                <w:shd w:val="clear" w:color="auto" w:fill="auto"/>
                <w:lang w:val="en-US" w:eastAsia="zh-CN"/>
              </w:rPr>
              <w:t>14</w:t>
            </w:r>
          </w:p>
        </w:tc>
        <w:tc>
          <w:tcPr>
            <w:tcW w:w="1847"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45EAFDD">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i w:val="0"/>
                <w:caps w:val="0"/>
                <w:color w:val="auto"/>
                <w:spacing w:val="0"/>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rPr>
              <w:t>对经营港口理货业务备案的行政处罚</w:t>
            </w:r>
          </w:p>
        </w:tc>
        <w:tc>
          <w:tcPr>
            <w:tcW w:w="3300" w:type="dxa"/>
            <w:vMerge w:val="restart"/>
            <w:tcBorders>
              <w:top w:val="single" w:color="000000" w:sz="4" w:space="0"/>
              <w:left w:val="single" w:color="000000" w:sz="4" w:space="0"/>
              <w:right w:val="nil"/>
            </w:tcBorders>
            <w:tcMar>
              <w:top w:w="15" w:type="dxa"/>
              <w:left w:w="15" w:type="dxa"/>
              <w:right w:w="15" w:type="dxa"/>
            </w:tcMar>
            <w:vAlign w:val="center"/>
          </w:tcPr>
          <w:p w14:paraId="23B911E2">
            <w:pPr>
              <w:keepNext w:val="0"/>
              <w:keepLines w:val="0"/>
              <w:pageBreakBefore w:val="0"/>
              <w:widowControl/>
              <w:suppressLineNumbers w:val="0"/>
              <w:kinsoku/>
              <w:wordWrap/>
              <w:topLinePunct w:val="0"/>
              <w:autoSpaceDE/>
              <w:autoSpaceDN/>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i w:val="0"/>
                <w:caps w:val="0"/>
                <w:color w:val="auto"/>
                <w:spacing w:val="0"/>
                <w:sz w:val="20"/>
                <w:szCs w:val="20"/>
                <w:highlight w:val="none"/>
                <w:shd w:val="clear" w:color="auto" w:fill="auto"/>
              </w:rPr>
            </w:pPr>
            <w:r>
              <w:rPr>
                <w:rFonts w:hint="eastAsia" w:ascii="宋体" w:hAnsi="宋体" w:eastAsia="宋体" w:cs="宋体"/>
                <w:color w:val="auto"/>
                <w:sz w:val="20"/>
                <w:szCs w:val="20"/>
                <w:highlight w:val="none"/>
                <w:shd w:val="clear" w:color="auto" w:fill="auto"/>
              </w:rPr>
              <w:t>中华人民共和国港口法》（2018年12月29日主席令第23号）第四十八条第二项：“ 有下列行为之一的，由港口行政管理部门责令停止违法经营，没收违法所得；违法所得十万元以上的，并处违法所得二倍以上五倍以下罚款；违法所得不足十万元的，处五万元以上二十万元以下罚款：……（二）未经依法许可，经营港口理货业务的。”</w:t>
            </w:r>
          </w:p>
        </w:tc>
        <w:tc>
          <w:tcPr>
            <w:tcW w:w="1059" w:type="dxa"/>
            <w:vMerge w:val="restart"/>
            <w:tcBorders>
              <w:top w:val="single" w:color="000000" w:sz="4" w:space="0"/>
              <w:left w:val="single" w:color="000000" w:sz="4" w:space="0"/>
              <w:right w:val="single" w:color="auto" w:sz="4" w:space="0"/>
            </w:tcBorders>
            <w:tcMar>
              <w:top w:w="15" w:type="dxa"/>
              <w:left w:w="15" w:type="dxa"/>
              <w:right w:w="15" w:type="dxa"/>
            </w:tcMar>
            <w:vAlign w:val="center"/>
          </w:tcPr>
          <w:p w14:paraId="1076D1F9">
            <w:pPr>
              <w:keepNext w:val="0"/>
              <w:keepLines w:val="0"/>
              <w:pageBreakBefore w:val="0"/>
              <w:widowControl/>
              <w:suppressLineNumbers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i w:val="0"/>
                <w:caps w:val="0"/>
                <w:color w:val="auto"/>
                <w:spacing w:val="0"/>
                <w:sz w:val="20"/>
                <w:szCs w:val="20"/>
                <w:highlight w:val="none"/>
                <w:shd w:val="clear" w:color="auto" w:fill="auto"/>
                <w:lang w:val="en-US" w:eastAsia="zh-CN"/>
              </w:rPr>
            </w:pPr>
            <w:r>
              <w:rPr>
                <w:rFonts w:hint="eastAsia" w:ascii="宋体" w:hAnsi="宋体" w:eastAsia="宋体" w:cs="宋体"/>
                <w:b w:val="0"/>
                <w:bCs w:val="0"/>
                <w:color w:val="auto"/>
                <w:sz w:val="20"/>
                <w:szCs w:val="20"/>
                <w:highlight w:val="none"/>
                <w:shd w:val="clear" w:color="auto" w:fill="auto"/>
                <w:lang w:eastAsia="zh-CN"/>
              </w:rPr>
              <w:t>行政处罚</w:t>
            </w: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88E23E3">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6FE2B6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42212F8B">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6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1DA2D3D5">
            <w:pPr>
              <w:keepNext w:val="0"/>
              <w:keepLines w:val="0"/>
              <w:pageBreakBefore w:val="0"/>
              <w:shd w:val="clear"/>
              <w:kinsoku/>
              <w:wordWrap/>
              <w:overflowPunct/>
              <w:topLinePunct w:val="0"/>
              <w:autoSpaceDE/>
              <w:autoSpaceDN/>
              <w:bidi w:val="0"/>
              <w:adjustRightInd/>
              <w:spacing w:line="240" w:lineRule="auto"/>
              <w:ind w:firstLine="0" w:firstLineChars="0"/>
              <w:jc w:val="center"/>
              <w:rPr>
                <w:rFonts w:hint="eastAsia" w:ascii="宋体" w:hAnsi="宋体" w:eastAsia="宋体" w:cs="宋体"/>
                <w:i w:val="0"/>
                <w:caps w:val="0"/>
                <w:color w:val="auto"/>
                <w:spacing w:val="0"/>
                <w:sz w:val="20"/>
                <w:szCs w:val="20"/>
                <w:highlight w:val="none"/>
                <w:shd w:val="clear" w:color="auto" w:fill="auto"/>
                <w:lang w:val="en-US" w:eastAsia="zh-CN"/>
              </w:rPr>
            </w:pPr>
          </w:p>
        </w:tc>
      </w:tr>
      <w:tr w14:paraId="4EB32D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71"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72F32134">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66C229C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3300" w:type="dxa"/>
            <w:vMerge w:val="continue"/>
            <w:tcBorders>
              <w:left w:val="single" w:color="000000" w:sz="4" w:space="0"/>
              <w:right w:val="nil"/>
            </w:tcBorders>
            <w:tcMar>
              <w:top w:w="15" w:type="dxa"/>
              <w:left w:w="15" w:type="dxa"/>
              <w:right w:w="15" w:type="dxa"/>
            </w:tcMar>
            <w:vAlign w:val="center"/>
          </w:tcPr>
          <w:p w14:paraId="0236FC8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4DE63837">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sz w:val="20"/>
                <w:szCs w:val="20"/>
                <w:highlight w:val="none"/>
                <w:shd w:val="clear" w:color="auto" w:fill="auto"/>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B1E250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C10DD3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2871230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7CE4751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269DF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5B0C168D">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0BD8DF61">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54ED382F">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2C3B139F">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8469FE0">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5FF0ECD">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3C7D19A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14C2E06E">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1D229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5"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3CFEEE4D">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847" w:type="dxa"/>
            <w:vMerge w:val="continue"/>
            <w:tcBorders>
              <w:left w:val="single" w:color="000000" w:sz="4" w:space="0"/>
              <w:right w:val="single" w:color="000000" w:sz="4" w:space="0"/>
            </w:tcBorders>
            <w:tcMar>
              <w:top w:w="15" w:type="dxa"/>
              <w:left w:w="15" w:type="dxa"/>
              <w:right w:w="15" w:type="dxa"/>
            </w:tcMar>
            <w:vAlign w:val="center"/>
          </w:tcPr>
          <w:p w14:paraId="4CBAA6BB">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3300" w:type="dxa"/>
            <w:vMerge w:val="continue"/>
            <w:tcBorders>
              <w:left w:val="single" w:color="000000" w:sz="4" w:space="0"/>
              <w:right w:val="nil"/>
            </w:tcBorders>
            <w:tcMar>
              <w:top w:w="15" w:type="dxa"/>
              <w:left w:w="15" w:type="dxa"/>
              <w:right w:w="15" w:type="dxa"/>
            </w:tcMar>
            <w:vAlign w:val="center"/>
          </w:tcPr>
          <w:p w14:paraId="775D4F1F">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059" w:type="dxa"/>
            <w:vMerge w:val="continue"/>
            <w:tcBorders>
              <w:left w:val="single" w:color="000000" w:sz="4" w:space="0"/>
              <w:right w:val="single" w:color="auto" w:sz="4" w:space="0"/>
            </w:tcBorders>
            <w:tcMar>
              <w:top w:w="15" w:type="dxa"/>
              <w:left w:w="15" w:type="dxa"/>
              <w:right w:w="15" w:type="dxa"/>
            </w:tcMar>
            <w:vAlign w:val="center"/>
          </w:tcPr>
          <w:p w14:paraId="576F9CB4">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4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B7C7020">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332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3FF83F5">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left"/>
              <w:textAlignment w:val="center"/>
              <w:outlineLvl w:val="9"/>
              <w:rPr>
                <w:rFonts w:hint="eastAsia" w:ascii="宋体" w:hAnsi="宋体" w:eastAsia="宋体" w:cs="宋体"/>
                <w:b w:val="0"/>
                <w:bCs w:val="0"/>
                <w:color w:val="auto"/>
                <w:kern w:val="2"/>
                <w:sz w:val="20"/>
                <w:szCs w:val="20"/>
                <w:highlight w:val="none"/>
                <w:shd w:val="clear" w:color="auto" w:fill="auto"/>
                <w:lang w:val="en-US" w:eastAsia="zh-CN" w:bidi="ar-SA"/>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14EFB819">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c>
          <w:tcPr>
            <w:tcW w:w="1646" w:type="dxa"/>
            <w:vMerge w:val="continue"/>
            <w:tcBorders>
              <w:left w:val="single" w:color="auto" w:sz="4" w:space="0"/>
              <w:right w:val="single" w:color="auto" w:sz="4" w:space="0"/>
            </w:tcBorders>
            <w:tcMar>
              <w:top w:w="15" w:type="dxa"/>
              <w:left w:w="15" w:type="dxa"/>
              <w:right w:w="15" w:type="dxa"/>
            </w:tcMar>
            <w:vAlign w:val="center"/>
          </w:tcPr>
          <w:p w14:paraId="3DCCA744">
            <w:pPr>
              <w:keepNext w:val="0"/>
              <w:keepLines w:val="0"/>
              <w:pageBreakBefore w:val="0"/>
              <w:widowControl/>
              <w:kinsoku/>
              <w:wordWrap/>
              <w:topLinePunct w:val="0"/>
              <w:autoSpaceDE/>
              <w:autoSpaceDN/>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auto"/>
                <w:kern w:val="0"/>
                <w:sz w:val="20"/>
                <w:szCs w:val="20"/>
                <w:highlight w:val="none"/>
                <w:shd w:val="clear" w:color="auto" w:fill="auto"/>
                <w:lang w:val="en-US" w:eastAsia="zh-CN"/>
              </w:rPr>
            </w:pPr>
          </w:p>
        </w:tc>
      </w:tr>
      <w:tr w14:paraId="74E6A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right w:val="single" w:color="000000" w:sz="4" w:space="0"/>
            </w:tcBorders>
            <w:tcMar>
              <w:top w:w="15" w:type="dxa"/>
              <w:left w:w="15" w:type="dxa"/>
              <w:right w:w="15" w:type="dxa"/>
            </w:tcMar>
            <w:vAlign w:val="center"/>
          </w:tcPr>
          <w:p w14:paraId="622D2C8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364FB2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val="en-US" w:eastAsia="zh-CN"/>
              </w:rPr>
            </w:pPr>
            <w:r>
              <w:rPr>
                <w:rFonts w:hint="eastAsia" w:ascii="宋体" w:hAnsi="宋体" w:eastAsia="宋体" w:cs="宋体"/>
                <w:color w:val="auto"/>
                <w:sz w:val="20"/>
                <w:szCs w:val="20"/>
                <w:highlight w:val="none"/>
                <w:shd w:val="clear" w:color="auto" w:fill="auto"/>
                <w:lang w:val="en-US" w:eastAsia="zh-CN"/>
              </w:rPr>
              <w:t>调整情况：取消</w:t>
            </w:r>
          </w:p>
        </w:tc>
      </w:tr>
      <w:tr w14:paraId="38C40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144"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14:paraId="39F7E87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i w:val="0"/>
                <w:caps w:val="0"/>
                <w:color w:val="auto"/>
                <w:spacing w:val="0"/>
                <w:sz w:val="20"/>
                <w:szCs w:val="20"/>
                <w:highlight w:val="none"/>
                <w:shd w:val="clear" w:color="auto" w:fill="auto"/>
                <w:lang w:val="en-US" w:eastAsia="zh-CN"/>
              </w:rPr>
            </w:pPr>
          </w:p>
        </w:tc>
        <w:tc>
          <w:tcPr>
            <w:tcW w:w="14306" w:type="dxa"/>
            <w:gridSpan w:val="7"/>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38C9BE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lang w:eastAsia="zh-CN"/>
              </w:rPr>
              <w:t>调整原因：根据市交通运输局权责清单动态调整，</w:t>
            </w:r>
            <w:r>
              <w:rPr>
                <w:rFonts w:hint="eastAsia" w:ascii="宋体" w:hAnsi="宋体" w:eastAsia="宋体" w:cs="宋体"/>
                <w:color w:val="auto"/>
                <w:sz w:val="20"/>
                <w:szCs w:val="20"/>
                <w:highlight w:val="none"/>
                <w:shd w:val="clear" w:color="auto" w:fill="auto"/>
                <w:lang w:val="en-US" w:eastAsia="zh-CN"/>
              </w:rPr>
              <w:t>辖区未开展水路运输业务无处罚对象。</w:t>
            </w:r>
          </w:p>
        </w:tc>
      </w:tr>
    </w:tbl>
    <w:p w14:paraId="1902402C">
      <w:pPr>
        <w:rPr>
          <w:color w:val="auto"/>
        </w:rPr>
      </w:pPr>
    </w:p>
    <w:p w14:paraId="22F58810">
      <w:pPr>
        <w:rPr>
          <w:color w:val="auto"/>
        </w:rPr>
      </w:pPr>
    </w:p>
    <w:tbl>
      <w:tblPr>
        <w:tblStyle w:val="3"/>
        <w:tblpPr w:leftFromText="180" w:rightFromText="180" w:vertAnchor="text" w:horzAnchor="page" w:tblpX="725" w:tblpY="577"/>
        <w:tblOverlap w:val="never"/>
        <w:tblW w:w="16098"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460"/>
        <w:gridCol w:w="1523"/>
        <w:gridCol w:w="3927"/>
        <w:gridCol w:w="1212"/>
        <w:gridCol w:w="1025"/>
        <w:gridCol w:w="4750"/>
        <w:gridCol w:w="1929"/>
        <w:gridCol w:w="1272"/>
      </w:tblGrid>
      <w:tr w14:paraId="43747D2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4" w:hRule="atLeast"/>
        </w:trPr>
        <w:tc>
          <w:tcPr>
            <w:tcW w:w="460" w:type="dxa"/>
            <w:tcBorders>
              <w:top w:val="single" w:color="000000" w:sz="6" w:space="0"/>
              <w:left w:val="single" w:color="000000" w:sz="12" w:space="0"/>
              <w:right w:val="single" w:color="000000" w:sz="6" w:space="0"/>
            </w:tcBorders>
            <w:noWrap w:val="0"/>
            <w:tcMar>
              <w:top w:w="15" w:type="dxa"/>
              <w:left w:w="15" w:type="dxa"/>
              <w:bottom w:w="0" w:type="dxa"/>
              <w:right w:w="15" w:type="dxa"/>
            </w:tcMar>
            <w:vAlign w:val="center"/>
          </w:tcPr>
          <w:p w14:paraId="525AC39A">
            <w:pPr>
              <w:ind w:left="0" w:leftChars="0" w:firstLine="0" w:firstLineChars="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序号</w:t>
            </w:r>
          </w:p>
        </w:tc>
        <w:tc>
          <w:tcPr>
            <w:tcW w:w="1523" w:type="dxa"/>
            <w:tcBorders>
              <w:top w:val="single" w:color="000000" w:sz="6" w:space="0"/>
              <w:left w:val="single" w:color="000000" w:sz="6" w:space="0"/>
              <w:right w:val="single" w:color="000000" w:sz="6" w:space="0"/>
            </w:tcBorders>
            <w:noWrap w:val="0"/>
            <w:tcMar>
              <w:top w:w="15" w:type="dxa"/>
              <w:left w:w="15" w:type="dxa"/>
              <w:bottom w:w="0" w:type="dxa"/>
              <w:right w:w="15" w:type="dxa"/>
            </w:tcMar>
            <w:vAlign w:val="center"/>
          </w:tcPr>
          <w:p w14:paraId="395BA005">
            <w:pPr>
              <w:keepNext w:val="0"/>
              <w:keepLines w:val="0"/>
              <w:pageBreakBefore w:val="0"/>
              <w:widowControl w:val="0"/>
              <w:kinsoku/>
              <w:wordWrap/>
              <w:overflowPunct w:val="0"/>
              <w:topLinePunct w:val="0"/>
              <w:autoSpaceDE/>
              <w:autoSpaceDN/>
              <w:bidi w:val="0"/>
              <w:snapToGrid w:val="0"/>
              <w:spacing w:line="240" w:lineRule="auto"/>
              <w:ind w:left="0" w:leftChars="0" w:firstLine="0" w:firstLineChars="0"/>
              <w:jc w:val="center"/>
              <w:textAlignment w:val="center"/>
              <w:rPr>
                <w:rFonts w:hint="eastAsia" w:ascii="宋体" w:hAnsi="宋体" w:eastAsia="宋体" w:cs="宋体"/>
                <w:color w:val="auto"/>
                <w:sz w:val="20"/>
                <w:szCs w:val="20"/>
                <w:highlight w:val="none"/>
                <w:shd w:val="clear" w:color="auto" w:fill="auto"/>
                <w:lang w:bidi="ar"/>
              </w:rPr>
            </w:pPr>
            <w:r>
              <w:rPr>
                <w:rFonts w:hint="eastAsia" w:ascii="宋体" w:hAnsi="宋体" w:eastAsia="宋体" w:cs="宋体"/>
                <w:color w:val="auto"/>
                <w:kern w:val="0"/>
                <w:sz w:val="20"/>
                <w:szCs w:val="20"/>
                <w:highlight w:val="none"/>
                <w:shd w:val="clear" w:color="auto" w:fill="auto"/>
                <w:lang w:bidi="ar"/>
              </w:rPr>
              <w:t>项目名称</w:t>
            </w:r>
          </w:p>
        </w:tc>
        <w:tc>
          <w:tcPr>
            <w:tcW w:w="3927" w:type="dxa"/>
            <w:tcBorders>
              <w:top w:val="single" w:color="000000" w:sz="6" w:space="0"/>
              <w:left w:val="single" w:color="000000" w:sz="6" w:space="0"/>
              <w:right w:val="single" w:color="000000" w:sz="6" w:space="0"/>
            </w:tcBorders>
            <w:noWrap w:val="0"/>
            <w:tcMar>
              <w:top w:w="15" w:type="dxa"/>
              <w:left w:w="15" w:type="dxa"/>
              <w:bottom w:w="0" w:type="dxa"/>
              <w:right w:w="15" w:type="dxa"/>
            </w:tcMar>
            <w:vAlign w:val="center"/>
          </w:tcPr>
          <w:p w14:paraId="454495F4">
            <w:pPr>
              <w:keepNext w:val="0"/>
              <w:keepLines w:val="0"/>
              <w:pageBreakBefore w:val="0"/>
              <w:widowControl w:val="0"/>
              <w:kinsoku/>
              <w:wordWrap/>
              <w:overflowPunct w:val="0"/>
              <w:topLinePunct w:val="0"/>
              <w:autoSpaceDE/>
              <w:autoSpaceDN/>
              <w:bidi w:val="0"/>
              <w:snapToGrid w:val="0"/>
              <w:spacing w:line="240" w:lineRule="auto"/>
              <w:ind w:left="0" w:leftChars="0" w:firstLine="0" w:firstLineChars="0"/>
              <w:jc w:val="center"/>
              <w:textAlignment w:val="center"/>
              <w:rPr>
                <w:rFonts w:hint="eastAsia" w:ascii="宋体" w:hAnsi="宋体" w:eastAsia="宋体" w:cs="宋体"/>
                <w:color w:val="auto"/>
                <w:sz w:val="20"/>
                <w:szCs w:val="20"/>
                <w:highlight w:val="none"/>
                <w:shd w:val="clear" w:color="auto" w:fill="auto"/>
                <w:lang w:bidi="ar"/>
              </w:rPr>
            </w:pPr>
            <w:r>
              <w:rPr>
                <w:rFonts w:hint="eastAsia" w:ascii="宋体" w:hAnsi="宋体" w:eastAsia="宋体" w:cs="宋体"/>
                <w:color w:val="auto"/>
                <w:kern w:val="0"/>
                <w:sz w:val="20"/>
                <w:szCs w:val="20"/>
                <w:highlight w:val="none"/>
                <w:shd w:val="clear" w:color="auto" w:fill="auto"/>
                <w:lang w:bidi="ar"/>
              </w:rPr>
              <w:t>实施依据</w:t>
            </w:r>
          </w:p>
        </w:tc>
        <w:tc>
          <w:tcPr>
            <w:tcW w:w="1212" w:type="dxa"/>
            <w:tcBorders>
              <w:top w:val="single" w:color="000000" w:sz="6" w:space="0"/>
              <w:left w:val="single" w:color="000000" w:sz="6" w:space="0"/>
              <w:right w:val="single" w:color="000000" w:sz="6" w:space="0"/>
            </w:tcBorders>
            <w:noWrap w:val="0"/>
            <w:tcMar>
              <w:top w:w="15" w:type="dxa"/>
              <w:left w:w="15" w:type="dxa"/>
              <w:bottom w:w="0" w:type="dxa"/>
              <w:right w:w="15" w:type="dxa"/>
            </w:tcMar>
            <w:vAlign w:val="center"/>
          </w:tcPr>
          <w:p w14:paraId="7121D631">
            <w:pPr>
              <w:keepNext w:val="0"/>
              <w:keepLines w:val="0"/>
              <w:pageBreakBefore w:val="0"/>
              <w:widowControl w:val="0"/>
              <w:kinsoku/>
              <w:wordWrap/>
              <w:overflowPunct w:val="0"/>
              <w:topLinePunct w:val="0"/>
              <w:autoSpaceDE/>
              <w:autoSpaceDN/>
              <w:bidi w:val="0"/>
              <w:snapToGrid w:val="0"/>
              <w:spacing w:line="240" w:lineRule="auto"/>
              <w:ind w:left="0" w:leftChars="0" w:firstLine="0" w:firstLineChars="0"/>
              <w:jc w:val="center"/>
              <w:textAlignment w:val="center"/>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权职类别</w:t>
            </w:r>
          </w:p>
        </w:tc>
        <w:tc>
          <w:tcPr>
            <w:tcW w:w="1025" w:type="dxa"/>
            <w:tcBorders>
              <w:top w:val="single" w:color="000000" w:sz="6" w:space="0"/>
              <w:left w:val="single" w:color="000000" w:sz="6" w:space="0"/>
              <w:bottom w:val="single" w:color="000000" w:sz="6" w:space="0"/>
              <w:right w:val="single" w:color="000000" w:sz="6" w:space="0"/>
            </w:tcBorders>
            <w:noWrap w:val="0"/>
            <w:tcMar>
              <w:top w:w="15" w:type="dxa"/>
              <w:left w:w="15" w:type="dxa"/>
              <w:bottom w:w="0" w:type="dxa"/>
              <w:right w:w="15" w:type="dxa"/>
            </w:tcMar>
            <w:vAlign w:val="center"/>
          </w:tcPr>
          <w:p w14:paraId="17407CAC">
            <w:pPr>
              <w:keepNext w:val="0"/>
              <w:keepLines w:val="0"/>
              <w:pageBreakBefore w:val="0"/>
              <w:widowControl w:val="0"/>
              <w:kinsoku/>
              <w:wordWrap/>
              <w:overflowPunct w:val="0"/>
              <w:topLinePunct w:val="0"/>
              <w:autoSpaceDE/>
              <w:autoSpaceDN/>
              <w:bidi w:val="0"/>
              <w:snapToGrid w:val="0"/>
              <w:spacing w:line="240" w:lineRule="auto"/>
              <w:ind w:left="0" w:leftChars="0" w:firstLine="0" w:firstLineChars="0"/>
              <w:jc w:val="center"/>
              <w:textAlignment w:val="center"/>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lang w:bidi="ar"/>
              </w:rPr>
              <w:t>办理环节</w:t>
            </w:r>
          </w:p>
        </w:tc>
        <w:tc>
          <w:tcPr>
            <w:tcW w:w="4750" w:type="dxa"/>
            <w:tcBorders>
              <w:top w:val="single" w:color="000000" w:sz="6" w:space="0"/>
              <w:left w:val="single" w:color="000000" w:sz="6" w:space="0"/>
              <w:bottom w:val="single" w:color="000000" w:sz="6" w:space="0"/>
              <w:right w:val="single" w:color="000000" w:sz="6" w:space="0"/>
            </w:tcBorders>
            <w:noWrap w:val="0"/>
            <w:tcMar>
              <w:top w:w="15" w:type="dxa"/>
              <w:left w:w="15" w:type="dxa"/>
              <w:bottom w:w="0" w:type="dxa"/>
              <w:right w:w="15" w:type="dxa"/>
            </w:tcMar>
            <w:vAlign w:val="center"/>
          </w:tcPr>
          <w:p w14:paraId="7F0956E8">
            <w:pPr>
              <w:keepNext w:val="0"/>
              <w:keepLines w:val="0"/>
              <w:pageBreakBefore w:val="0"/>
              <w:widowControl w:val="0"/>
              <w:kinsoku/>
              <w:wordWrap/>
              <w:overflowPunct w:val="0"/>
              <w:topLinePunct w:val="0"/>
              <w:autoSpaceDE/>
              <w:autoSpaceDN/>
              <w:bidi w:val="0"/>
              <w:snapToGrid w:val="0"/>
              <w:spacing w:line="240" w:lineRule="auto"/>
              <w:ind w:left="0" w:leftChars="0" w:firstLine="0" w:firstLineChars="0"/>
              <w:jc w:val="center"/>
              <w:textAlignment w:val="center"/>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lang w:bidi="ar"/>
              </w:rPr>
              <w:t>责任事项</w:t>
            </w:r>
          </w:p>
        </w:tc>
        <w:tc>
          <w:tcPr>
            <w:tcW w:w="1929" w:type="dxa"/>
            <w:tcBorders>
              <w:top w:val="single" w:color="000000" w:sz="6" w:space="0"/>
              <w:left w:val="single" w:color="000000" w:sz="6" w:space="0"/>
              <w:right w:val="single" w:color="000000" w:sz="12" w:space="0"/>
            </w:tcBorders>
            <w:noWrap w:val="0"/>
            <w:tcMar>
              <w:top w:w="15" w:type="dxa"/>
              <w:left w:w="15" w:type="dxa"/>
              <w:bottom w:w="0" w:type="dxa"/>
              <w:right w:w="15" w:type="dxa"/>
            </w:tcMar>
            <w:vAlign w:val="center"/>
          </w:tcPr>
          <w:p w14:paraId="60F3C360">
            <w:pPr>
              <w:keepNext w:val="0"/>
              <w:keepLines w:val="0"/>
              <w:pageBreakBefore w:val="0"/>
              <w:widowControl w:val="0"/>
              <w:kinsoku/>
              <w:wordWrap/>
              <w:overflowPunct w:val="0"/>
              <w:topLinePunct w:val="0"/>
              <w:autoSpaceDE/>
              <w:autoSpaceDN/>
              <w:bidi w:val="0"/>
              <w:snapToGrid w:val="0"/>
              <w:spacing w:line="240" w:lineRule="auto"/>
              <w:ind w:left="0" w:leftChars="0" w:firstLine="0" w:firstLineChars="0"/>
              <w:jc w:val="center"/>
              <w:textAlignment w:val="center"/>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lang w:bidi="ar"/>
              </w:rPr>
              <w:t>追责情形</w:t>
            </w:r>
          </w:p>
        </w:tc>
        <w:tc>
          <w:tcPr>
            <w:tcW w:w="1272" w:type="dxa"/>
            <w:tcBorders>
              <w:top w:val="single" w:color="000000" w:sz="6" w:space="0"/>
              <w:left w:val="single" w:color="000000" w:sz="6" w:space="0"/>
              <w:right w:val="single" w:color="000000" w:sz="12" w:space="0"/>
            </w:tcBorders>
            <w:noWrap w:val="0"/>
            <w:tcMar>
              <w:top w:w="15" w:type="dxa"/>
              <w:left w:w="15" w:type="dxa"/>
              <w:bottom w:w="0" w:type="dxa"/>
              <w:right w:w="15" w:type="dxa"/>
            </w:tcMar>
            <w:vAlign w:val="center"/>
          </w:tcPr>
          <w:p w14:paraId="4F18E04F">
            <w:pPr>
              <w:keepNext w:val="0"/>
              <w:keepLines w:val="0"/>
              <w:pageBreakBefore w:val="0"/>
              <w:widowControl w:val="0"/>
              <w:kinsoku/>
              <w:wordWrap/>
              <w:overflowPunct w:val="0"/>
              <w:topLinePunct w:val="0"/>
              <w:autoSpaceDE/>
              <w:autoSpaceDN/>
              <w:bidi w:val="0"/>
              <w:snapToGrid w:val="0"/>
              <w:spacing w:line="240" w:lineRule="auto"/>
              <w:ind w:left="0" w:leftChars="0" w:firstLine="0" w:firstLineChars="0"/>
              <w:jc w:val="center"/>
              <w:textAlignment w:val="center"/>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lang w:bidi="ar"/>
              </w:rPr>
              <w:t>责任处室</w:t>
            </w:r>
          </w:p>
        </w:tc>
      </w:tr>
      <w:tr w14:paraId="5DDB625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4" w:hRule="atLeast"/>
        </w:trPr>
        <w:tc>
          <w:tcPr>
            <w:tcW w:w="460" w:type="dxa"/>
            <w:vMerge w:val="restart"/>
            <w:tcBorders>
              <w:top w:val="single" w:color="000000" w:sz="6" w:space="0"/>
              <w:left w:val="single" w:color="000000" w:sz="12" w:space="0"/>
              <w:right w:val="single" w:color="000000" w:sz="6" w:space="0"/>
            </w:tcBorders>
            <w:noWrap w:val="0"/>
            <w:tcMar>
              <w:top w:w="15" w:type="dxa"/>
              <w:left w:w="15" w:type="dxa"/>
              <w:bottom w:w="0" w:type="dxa"/>
              <w:right w:w="15" w:type="dxa"/>
            </w:tcMar>
            <w:vAlign w:val="center"/>
          </w:tcPr>
          <w:p w14:paraId="316C8DB8">
            <w:pPr>
              <w:keepNext w:val="0"/>
              <w:keepLines w:val="0"/>
              <w:pageBreakBefore w:val="0"/>
              <w:widowControl w:val="0"/>
              <w:kinsoku/>
              <w:wordWrap/>
              <w:overflowPunct w:val="0"/>
              <w:topLinePunct w:val="0"/>
              <w:autoSpaceDE/>
              <w:autoSpaceDN/>
              <w:bidi w:val="0"/>
              <w:snapToGrid w:val="0"/>
              <w:spacing w:line="240" w:lineRule="auto"/>
              <w:ind w:left="0" w:firstLine="0" w:firstLineChars="0"/>
              <w:jc w:val="center"/>
              <w:rPr>
                <w:rFonts w:hint="eastAsia" w:ascii="宋体" w:hAnsi="宋体" w:eastAsia="宋体" w:cs="宋体"/>
                <w:color w:val="auto"/>
                <w:sz w:val="20"/>
                <w:szCs w:val="20"/>
                <w:highlight w:val="none"/>
                <w:shd w:val="clear" w:color="auto" w:fill="auto"/>
                <w:lang w:val="en-US" w:eastAsia="zh-CN"/>
              </w:rPr>
            </w:pPr>
            <w:r>
              <w:rPr>
                <w:rFonts w:hint="eastAsia" w:ascii="宋体" w:hAnsi="宋体" w:eastAsia="宋体" w:cs="宋体"/>
                <w:color w:val="auto"/>
                <w:sz w:val="20"/>
                <w:szCs w:val="20"/>
                <w:highlight w:val="none"/>
                <w:shd w:val="clear" w:color="auto" w:fill="auto"/>
                <w:lang w:val="en-US" w:eastAsia="zh-CN"/>
              </w:rPr>
              <w:t>15</w:t>
            </w:r>
          </w:p>
        </w:tc>
        <w:tc>
          <w:tcPr>
            <w:tcW w:w="1523" w:type="dxa"/>
            <w:vMerge w:val="restart"/>
            <w:tcBorders>
              <w:top w:val="single" w:color="000000" w:sz="6" w:space="0"/>
              <w:left w:val="single" w:color="000000" w:sz="6" w:space="0"/>
              <w:right w:val="single" w:color="000000" w:sz="6" w:space="0"/>
            </w:tcBorders>
            <w:noWrap w:val="0"/>
            <w:tcMar>
              <w:top w:w="15" w:type="dxa"/>
              <w:left w:w="15" w:type="dxa"/>
              <w:bottom w:w="0" w:type="dxa"/>
              <w:right w:w="15" w:type="dxa"/>
            </w:tcMar>
            <w:vAlign w:val="center"/>
          </w:tcPr>
          <w:p w14:paraId="4DEAC6BD">
            <w:pPr>
              <w:pStyle w:val="2"/>
              <w:keepNext w:val="0"/>
              <w:keepLines w:val="0"/>
              <w:pageBreakBefore w:val="0"/>
              <w:widowControl w:val="0"/>
              <w:kinsoku/>
              <w:wordWrap/>
              <w:overflowPunct w:val="0"/>
              <w:topLinePunct w:val="0"/>
              <w:autoSpaceDE/>
              <w:autoSpaceDN/>
              <w:bidi w:val="0"/>
              <w:snapToGrid w:val="0"/>
              <w:spacing w:after="0" w:line="240" w:lineRule="auto"/>
              <w:ind w:left="0" w:firstLine="0" w:firstLineChars="0"/>
              <w:rPr>
                <w:rFonts w:hint="eastAsia" w:ascii="宋体" w:hAnsi="宋体" w:eastAsia="宋体" w:cs="宋体"/>
                <w:color w:val="auto"/>
                <w:spacing w:val="-6"/>
                <w:kern w:val="0"/>
                <w:sz w:val="20"/>
                <w:szCs w:val="20"/>
                <w:highlight w:val="none"/>
                <w:shd w:val="clear" w:color="auto" w:fill="auto"/>
                <w:lang w:val="en-US" w:eastAsia="zh-CN" w:bidi="ar-SA"/>
              </w:rPr>
            </w:pPr>
            <w:r>
              <w:rPr>
                <w:rFonts w:hint="eastAsia" w:ascii="宋体" w:hAnsi="宋体" w:eastAsia="宋体" w:cs="宋体"/>
                <w:color w:val="auto"/>
                <w:sz w:val="20"/>
                <w:szCs w:val="20"/>
              </w:rPr>
              <w:t>对从事爆破等危害村道安全</w:t>
            </w:r>
            <w:r>
              <w:rPr>
                <w:rFonts w:hint="eastAsia" w:ascii="宋体" w:hAnsi="宋体" w:eastAsia="宋体" w:cs="宋体"/>
                <w:color w:val="auto"/>
                <w:spacing w:val="10"/>
                <w:sz w:val="20"/>
                <w:szCs w:val="20"/>
              </w:rPr>
              <w:t xml:space="preserve"> </w:t>
            </w:r>
            <w:r>
              <w:rPr>
                <w:rFonts w:hint="eastAsia" w:ascii="宋体" w:hAnsi="宋体" w:eastAsia="宋体" w:cs="宋体"/>
                <w:color w:val="auto"/>
                <w:spacing w:val="6"/>
                <w:sz w:val="20"/>
                <w:szCs w:val="20"/>
              </w:rPr>
              <w:t>作业的处罚</w:t>
            </w:r>
          </w:p>
        </w:tc>
        <w:tc>
          <w:tcPr>
            <w:tcW w:w="3927" w:type="dxa"/>
            <w:vMerge w:val="restart"/>
            <w:tcBorders>
              <w:top w:val="single" w:color="000000" w:sz="6" w:space="0"/>
              <w:left w:val="single" w:color="000000" w:sz="6" w:space="0"/>
              <w:right w:val="single" w:color="000000" w:sz="6" w:space="0"/>
            </w:tcBorders>
            <w:noWrap w:val="0"/>
            <w:tcMar>
              <w:top w:w="15" w:type="dxa"/>
              <w:left w:w="15" w:type="dxa"/>
              <w:bottom w:w="0" w:type="dxa"/>
              <w:right w:w="15" w:type="dxa"/>
            </w:tcMar>
            <w:vAlign w:val="center"/>
          </w:tcPr>
          <w:p w14:paraId="706D225A">
            <w:pPr>
              <w:pStyle w:val="2"/>
              <w:keepNext w:val="0"/>
              <w:keepLines w:val="0"/>
              <w:pageBreakBefore w:val="0"/>
              <w:widowControl w:val="0"/>
              <w:kinsoku/>
              <w:wordWrap/>
              <w:overflowPunct w:val="0"/>
              <w:topLinePunct w:val="0"/>
              <w:autoSpaceDE/>
              <w:autoSpaceDN/>
              <w:bidi w:val="0"/>
              <w:snapToGrid w:val="0"/>
              <w:spacing w:after="0" w:line="240" w:lineRule="auto"/>
              <w:ind w:left="0" w:firstLine="0" w:firstLineChars="0"/>
              <w:rPr>
                <w:rFonts w:hint="eastAsia" w:ascii="宋体" w:hAnsi="宋体" w:eastAsia="宋体" w:cs="宋体"/>
                <w:color w:val="auto"/>
                <w:sz w:val="20"/>
                <w:szCs w:val="20"/>
              </w:rPr>
            </w:pPr>
            <w:r>
              <w:rPr>
                <w:rFonts w:hint="eastAsia" w:ascii="宋体" w:hAnsi="宋体" w:eastAsia="宋体" w:cs="宋体"/>
                <w:color w:val="auto"/>
                <w:sz w:val="20"/>
                <w:szCs w:val="20"/>
              </w:rPr>
              <w:t>《河南省农村公路条例》第 五十三条</w:t>
            </w: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rPr>
              <w:t>第二项</w:t>
            </w:r>
            <w:r>
              <w:rPr>
                <w:rFonts w:hint="eastAsia" w:ascii="宋体" w:hAnsi="宋体" w:eastAsia="宋体" w:cs="宋体"/>
                <w:color w:val="auto"/>
                <w:sz w:val="20"/>
                <w:szCs w:val="20"/>
                <w:lang w:eastAsia="zh-CN"/>
              </w:rPr>
              <w:t>）</w:t>
            </w:r>
            <w:bookmarkStart w:id="0" w:name="tiao_53_kuan_1"/>
            <w:bookmarkEnd w:id="0"/>
            <w:r>
              <w:rPr>
                <w:rFonts w:hint="eastAsia" w:ascii="宋体" w:hAnsi="宋体" w:eastAsia="宋体" w:cs="宋体"/>
                <w:color w:val="auto"/>
                <w:sz w:val="20"/>
                <w:szCs w:val="20"/>
                <w:lang w:val="en-US" w:eastAsia="zh-CN"/>
              </w:rPr>
              <w:t>违反本条例规定，有下列行为之一的，由县级交通运输行政主管部门责令停止违法行为，处五百元以上五千元以下的罚款；造成村道损害的，应当限期修复或者予以赔偿：</w:t>
            </w:r>
          </w:p>
          <w:p w14:paraId="27B4BA31">
            <w:pPr>
              <w:pStyle w:val="2"/>
              <w:keepNext w:val="0"/>
              <w:keepLines w:val="0"/>
              <w:pageBreakBefore w:val="0"/>
              <w:widowControl w:val="0"/>
              <w:kinsoku/>
              <w:wordWrap/>
              <w:overflowPunct w:val="0"/>
              <w:topLinePunct w:val="0"/>
              <w:autoSpaceDE/>
              <w:autoSpaceDN/>
              <w:bidi w:val="0"/>
              <w:snapToGrid w:val="0"/>
              <w:spacing w:after="0" w:line="240" w:lineRule="auto"/>
              <w:ind w:left="0" w:firstLine="0" w:firstLineChars="0"/>
              <w:jc w:val="both"/>
              <w:rPr>
                <w:rFonts w:hint="eastAsia" w:ascii="宋体" w:hAnsi="宋体" w:eastAsia="宋体" w:cs="宋体"/>
                <w:color w:val="auto"/>
                <w:sz w:val="20"/>
                <w:szCs w:val="20"/>
              </w:rPr>
            </w:pPr>
            <w:bookmarkStart w:id="1" w:name="tiao_53_kuan_1_xiang_1"/>
            <w:bookmarkEnd w:id="1"/>
            <w:r>
              <w:rPr>
                <w:rFonts w:hint="eastAsia" w:ascii="宋体" w:hAnsi="宋体" w:eastAsia="宋体" w:cs="宋体"/>
                <w:color w:val="auto"/>
                <w:sz w:val="20"/>
                <w:szCs w:val="20"/>
                <w:lang w:val="en-US" w:eastAsia="zh-CN"/>
              </w:rPr>
              <w:t>　（一）擅自占用、挖掘村道的；</w:t>
            </w:r>
          </w:p>
          <w:p w14:paraId="55B31A3E">
            <w:pPr>
              <w:pStyle w:val="2"/>
              <w:keepNext w:val="0"/>
              <w:keepLines w:val="0"/>
              <w:pageBreakBefore w:val="0"/>
              <w:widowControl w:val="0"/>
              <w:kinsoku/>
              <w:wordWrap/>
              <w:overflowPunct w:val="0"/>
              <w:topLinePunct w:val="0"/>
              <w:autoSpaceDE/>
              <w:autoSpaceDN/>
              <w:bidi w:val="0"/>
              <w:snapToGrid w:val="0"/>
              <w:spacing w:after="0" w:line="240" w:lineRule="auto"/>
              <w:ind w:left="0" w:firstLine="0" w:firstLineChars="0"/>
              <w:jc w:val="both"/>
              <w:rPr>
                <w:rFonts w:hint="eastAsia" w:ascii="宋体" w:hAnsi="宋体" w:eastAsia="宋体" w:cs="宋体"/>
                <w:color w:val="auto"/>
                <w:spacing w:val="-6"/>
                <w:kern w:val="0"/>
                <w:sz w:val="20"/>
                <w:szCs w:val="20"/>
                <w:highlight w:val="none"/>
                <w:shd w:val="clear" w:color="auto" w:fill="auto"/>
                <w:lang w:val="en-US" w:eastAsia="zh-CN" w:bidi="ar-SA"/>
              </w:rPr>
            </w:pPr>
            <w:bookmarkStart w:id="2" w:name="tiao_53_kuan_1_xiang_2"/>
            <w:bookmarkEnd w:id="2"/>
            <w:r>
              <w:rPr>
                <w:rFonts w:hint="eastAsia" w:ascii="宋体" w:hAnsi="宋体" w:eastAsia="宋体" w:cs="宋体"/>
                <w:color w:val="auto"/>
                <w:sz w:val="20"/>
                <w:szCs w:val="20"/>
                <w:lang w:val="en-US" w:eastAsia="zh-CN"/>
              </w:rPr>
              <w:t>　（二）从事爆破等危害村道安全作业的；</w:t>
            </w:r>
          </w:p>
        </w:tc>
        <w:tc>
          <w:tcPr>
            <w:tcW w:w="1212" w:type="dxa"/>
            <w:vMerge w:val="restart"/>
            <w:tcBorders>
              <w:top w:val="single" w:color="000000" w:sz="6" w:space="0"/>
              <w:left w:val="single" w:color="000000" w:sz="6" w:space="0"/>
              <w:right w:val="single" w:color="000000" w:sz="6" w:space="0"/>
            </w:tcBorders>
            <w:noWrap w:val="0"/>
            <w:tcMar>
              <w:top w:w="15" w:type="dxa"/>
              <w:left w:w="15" w:type="dxa"/>
              <w:bottom w:w="0" w:type="dxa"/>
              <w:right w:w="15" w:type="dxa"/>
            </w:tcMar>
            <w:vAlign w:val="center"/>
          </w:tcPr>
          <w:p w14:paraId="1E9C99E9">
            <w:pPr>
              <w:keepNext w:val="0"/>
              <w:keepLines w:val="0"/>
              <w:pageBreakBefore w:val="0"/>
              <w:widowControl w:val="0"/>
              <w:kinsoku/>
              <w:wordWrap/>
              <w:overflowPunct w:val="0"/>
              <w:topLinePunct w:val="0"/>
              <w:autoSpaceDE/>
              <w:autoSpaceDN/>
              <w:bidi w:val="0"/>
              <w:snapToGrid w:val="0"/>
              <w:spacing w:line="240" w:lineRule="auto"/>
              <w:ind w:left="0" w:firstLine="0" w:firstLineChars="0"/>
              <w:jc w:val="center"/>
              <w:textAlignment w:val="center"/>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行政处罚</w:t>
            </w:r>
          </w:p>
        </w:tc>
        <w:tc>
          <w:tcPr>
            <w:tcW w:w="1025" w:type="dxa"/>
            <w:tcBorders>
              <w:top w:val="single" w:color="000000" w:sz="6" w:space="0"/>
              <w:left w:val="single" w:color="000000" w:sz="6" w:space="0"/>
              <w:bottom w:val="single" w:color="000000" w:sz="6" w:space="0"/>
              <w:right w:val="single" w:color="000000" w:sz="6" w:space="0"/>
            </w:tcBorders>
            <w:noWrap w:val="0"/>
            <w:tcMar>
              <w:top w:w="15" w:type="dxa"/>
              <w:left w:w="15" w:type="dxa"/>
              <w:bottom w:w="0" w:type="dxa"/>
              <w:right w:w="15" w:type="dxa"/>
            </w:tcMar>
            <w:vAlign w:val="center"/>
          </w:tcPr>
          <w:p w14:paraId="3ADA6C3D">
            <w:pPr>
              <w:keepNext w:val="0"/>
              <w:keepLines w:val="0"/>
              <w:pageBreakBefore w:val="0"/>
              <w:widowControl w:val="0"/>
              <w:kinsoku/>
              <w:wordWrap/>
              <w:overflowPunct w:val="0"/>
              <w:topLinePunct w:val="0"/>
              <w:autoSpaceDE/>
              <w:autoSpaceDN/>
              <w:bidi w:val="0"/>
              <w:snapToGrid w:val="0"/>
              <w:spacing w:line="240" w:lineRule="auto"/>
              <w:ind w:left="0" w:firstLine="0" w:firstLineChars="0"/>
              <w:jc w:val="center"/>
              <w:rPr>
                <w:rFonts w:hint="eastAsia" w:ascii="宋体" w:hAnsi="宋体" w:eastAsia="宋体" w:cs="宋体"/>
                <w:color w:val="auto"/>
                <w:kern w:val="0"/>
                <w:sz w:val="20"/>
                <w:szCs w:val="20"/>
                <w:highlight w:val="none"/>
                <w:shd w:val="clear" w:color="auto" w:fill="auto"/>
                <w:lang w:bidi="ar"/>
              </w:rPr>
            </w:pPr>
            <w:r>
              <w:rPr>
                <w:rFonts w:hint="eastAsia" w:ascii="宋体" w:hAnsi="宋体" w:eastAsia="宋体" w:cs="宋体"/>
                <w:color w:val="auto"/>
                <w:sz w:val="20"/>
                <w:szCs w:val="20"/>
                <w:highlight w:val="none"/>
                <w:shd w:val="clear" w:color="auto" w:fill="auto"/>
              </w:rPr>
              <w:t>立案</w:t>
            </w:r>
          </w:p>
        </w:tc>
        <w:tc>
          <w:tcPr>
            <w:tcW w:w="4750" w:type="dxa"/>
            <w:tcBorders>
              <w:top w:val="single" w:color="000000" w:sz="6" w:space="0"/>
              <w:left w:val="single" w:color="000000" w:sz="6" w:space="0"/>
              <w:bottom w:val="single" w:color="000000" w:sz="6" w:space="0"/>
              <w:right w:val="single" w:color="000000" w:sz="6" w:space="0"/>
            </w:tcBorders>
            <w:noWrap w:val="0"/>
            <w:tcMar>
              <w:top w:w="15" w:type="dxa"/>
              <w:left w:w="15" w:type="dxa"/>
              <w:bottom w:w="0" w:type="dxa"/>
              <w:right w:w="15" w:type="dxa"/>
            </w:tcMar>
            <w:vAlign w:val="center"/>
          </w:tcPr>
          <w:p w14:paraId="5AE6AEEC">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kern w:val="0"/>
                <w:sz w:val="20"/>
                <w:szCs w:val="20"/>
                <w:highlight w:val="none"/>
                <w:shd w:val="clear" w:color="auto" w:fill="auto"/>
                <w:lang w:bidi="ar"/>
              </w:rPr>
            </w:pPr>
            <w:r>
              <w:rPr>
                <w:rFonts w:hint="eastAsia" w:ascii="宋体" w:hAnsi="宋体" w:eastAsia="宋体" w:cs="宋体"/>
                <w:color w:val="auto"/>
                <w:sz w:val="20"/>
                <w:szCs w:val="20"/>
                <w:highlight w:val="none"/>
                <w:shd w:val="clear" w:color="auto" w:fill="auto"/>
              </w:rPr>
              <w:t>1.</w:t>
            </w:r>
            <w:r>
              <w:rPr>
                <w:rFonts w:hint="eastAsia" w:ascii="宋体" w:hAnsi="宋体" w:eastAsia="宋体" w:cs="宋体"/>
                <w:color w:val="auto"/>
                <w:kern w:val="0"/>
                <w:sz w:val="20"/>
                <w:szCs w:val="20"/>
                <w:highlight w:val="none"/>
                <w:shd w:val="clear" w:color="auto" w:fill="auto"/>
              </w:rPr>
              <w:t>立案责任：检查中发现或者接到举报投诉的违法行为、有关部门移送的此</w:t>
            </w:r>
            <w:r>
              <w:rPr>
                <w:rFonts w:hint="eastAsia" w:ascii="宋体" w:hAnsi="宋体" w:eastAsia="宋体" w:cs="宋体"/>
                <w:color w:val="auto"/>
                <w:kern w:val="0"/>
                <w:sz w:val="20"/>
                <w:szCs w:val="20"/>
                <w:highlight w:val="none"/>
                <w:shd w:val="clear" w:color="auto" w:fill="auto"/>
                <w:lang w:eastAsia="zh-CN"/>
              </w:rPr>
              <w:t>类型</w:t>
            </w:r>
            <w:r>
              <w:rPr>
                <w:rFonts w:hint="eastAsia" w:ascii="宋体" w:hAnsi="宋体" w:eastAsia="宋体" w:cs="宋体"/>
                <w:color w:val="auto"/>
                <w:kern w:val="0"/>
                <w:sz w:val="20"/>
                <w:szCs w:val="20"/>
                <w:highlight w:val="none"/>
                <w:shd w:val="clear" w:color="auto" w:fill="auto"/>
              </w:rPr>
              <w:t>违法案件，予以审查，决定是否立案。</w:t>
            </w:r>
          </w:p>
        </w:tc>
        <w:tc>
          <w:tcPr>
            <w:tcW w:w="1929" w:type="dxa"/>
            <w:vMerge w:val="restart"/>
            <w:tcBorders>
              <w:top w:val="single" w:color="000000" w:sz="6" w:space="0"/>
              <w:left w:val="single" w:color="000000" w:sz="6" w:space="0"/>
              <w:right w:val="single" w:color="000000" w:sz="12" w:space="0"/>
            </w:tcBorders>
            <w:noWrap w:val="0"/>
            <w:tcMar>
              <w:top w:w="15" w:type="dxa"/>
              <w:left w:w="15" w:type="dxa"/>
              <w:bottom w:w="0" w:type="dxa"/>
              <w:right w:w="15" w:type="dxa"/>
            </w:tcMar>
            <w:vAlign w:val="center"/>
          </w:tcPr>
          <w:p w14:paraId="67B06A7A">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河南省行政执法过错责任追究办法》（河南省人民政府令2018年第187号）第八条：“行政执法机关及行政执法人员在行政处罚、行政许可、行政强制、行政征收等行政执法过程中，有下列行为之一的，应当追究行政执法过错责任：（一）无法定依据、法定职权的；（二）超越、滥用法定职权的；（三）违反法定程序的；（四）主要事实认定不清、证据不足的；（五）适用依据错误的；（六）行政执法行为明显不当的；（七）不履行法定职责，造成危害后果的；（八）其他违法或者不当履行行政执法职责的。”</w:t>
            </w:r>
          </w:p>
        </w:tc>
        <w:tc>
          <w:tcPr>
            <w:tcW w:w="1272" w:type="dxa"/>
            <w:vMerge w:val="restart"/>
            <w:tcBorders>
              <w:top w:val="single" w:color="000000" w:sz="6" w:space="0"/>
              <w:left w:val="single" w:color="000000" w:sz="6" w:space="0"/>
              <w:right w:val="single" w:color="000000" w:sz="12" w:space="0"/>
            </w:tcBorders>
            <w:noWrap w:val="0"/>
            <w:tcMar>
              <w:top w:w="15" w:type="dxa"/>
              <w:left w:w="15" w:type="dxa"/>
              <w:bottom w:w="0" w:type="dxa"/>
              <w:right w:w="15" w:type="dxa"/>
            </w:tcMar>
            <w:vAlign w:val="center"/>
          </w:tcPr>
          <w:p w14:paraId="7A1F14DF">
            <w:pPr>
              <w:keepNext w:val="0"/>
              <w:keepLines w:val="0"/>
              <w:pageBreakBefore w:val="0"/>
              <w:widowControl w:val="0"/>
              <w:kinsoku/>
              <w:wordWrap/>
              <w:overflowPunct w:val="0"/>
              <w:topLinePunct w:val="0"/>
              <w:autoSpaceDE/>
              <w:autoSpaceDN/>
              <w:bidi w:val="0"/>
              <w:snapToGrid w:val="0"/>
              <w:spacing w:line="240" w:lineRule="auto"/>
              <w:ind w:left="0" w:firstLine="0" w:firstLineChars="0"/>
              <w:jc w:val="center"/>
              <w:rPr>
                <w:rFonts w:hint="eastAsia" w:ascii="宋体" w:hAnsi="宋体" w:eastAsia="宋体" w:cs="宋体"/>
                <w:color w:val="auto"/>
                <w:kern w:val="0"/>
                <w:sz w:val="20"/>
                <w:szCs w:val="20"/>
                <w:highlight w:val="none"/>
                <w:shd w:val="clear" w:color="auto" w:fill="auto"/>
                <w:lang w:bidi="ar"/>
              </w:rPr>
            </w:pPr>
            <w:r>
              <w:rPr>
                <w:rFonts w:hint="eastAsia" w:ascii="宋体" w:hAnsi="宋体" w:eastAsia="宋体" w:cs="宋体"/>
                <w:b w:val="0"/>
                <w:i w:val="0"/>
                <w:color w:val="auto"/>
                <w:sz w:val="20"/>
                <w:szCs w:val="20"/>
                <w:highlight w:val="none"/>
                <w:u w:val="none"/>
                <w:shd w:val="clear" w:color="auto" w:fill="auto"/>
                <w:lang w:eastAsia="zh-CN"/>
              </w:rPr>
              <w:t>社旗县交通运输综合行政执法大队</w:t>
            </w:r>
          </w:p>
        </w:tc>
      </w:tr>
      <w:tr w14:paraId="05C75FE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285" w:hRule="atLeast"/>
        </w:trPr>
        <w:tc>
          <w:tcPr>
            <w:tcW w:w="460" w:type="dxa"/>
            <w:vMerge w:val="continue"/>
            <w:tcBorders>
              <w:left w:val="single" w:color="000000" w:sz="12" w:space="0"/>
              <w:right w:val="single" w:color="000000" w:sz="6" w:space="0"/>
            </w:tcBorders>
            <w:noWrap w:val="0"/>
            <w:vAlign w:val="center"/>
          </w:tcPr>
          <w:p w14:paraId="61BB78EB">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p>
        </w:tc>
        <w:tc>
          <w:tcPr>
            <w:tcW w:w="1523" w:type="dxa"/>
            <w:vMerge w:val="continue"/>
            <w:tcBorders>
              <w:left w:val="single" w:color="000000" w:sz="6" w:space="0"/>
              <w:right w:val="single" w:color="000000" w:sz="6" w:space="0"/>
            </w:tcBorders>
            <w:noWrap w:val="0"/>
            <w:vAlign w:val="center"/>
          </w:tcPr>
          <w:p w14:paraId="6B3FE1C8">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kern w:val="0"/>
                <w:sz w:val="20"/>
                <w:szCs w:val="20"/>
                <w:highlight w:val="none"/>
                <w:shd w:val="clear" w:color="auto" w:fill="auto"/>
                <w:lang w:bidi="ar"/>
              </w:rPr>
            </w:pPr>
          </w:p>
        </w:tc>
        <w:tc>
          <w:tcPr>
            <w:tcW w:w="3927" w:type="dxa"/>
            <w:vMerge w:val="continue"/>
            <w:tcBorders>
              <w:left w:val="single" w:color="000000" w:sz="6" w:space="0"/>
              <w:right w:val="single" w:color="000000" w:sz="6" w:space="0"/>
            </w:tcBorders>
            <w:noWrap w:val="0"/>
            <w:vAlign w:val="center"/>
          </w:tcPr>
          <w:p w14:paraId="4A5DC2B0">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kern w:val="0"/>
                <w:sz w:val="20"/>
                <w:szCs w:val="20"/>
                <w:highlight w:val="none"/>
                <w:shd w:val="clear" w:color="auto" w:fill="auto"/>
                <w:lang w:bidi="ar"/>
              </w:rPr>
            </w:pPr>
          </w:p>
        </w:tc>
        <w:tc>
          <w:tcPr>
            <w:tcW w:w="1212" w:type="dxa"/>
            <w:vMerge w:val="continue"/>
            <w:tcBorders>
              <w:left w:val="single" w:color="000000" w:sz="6" w:space="0"/>
              <w:right w:val="single" w:color="000000" w:sz="6" w:space="0"/>
            </w:tcBorders>
            <w:noWrap w:val="0"/>
            <w:vAlign w:val="center"/>
          </w:tcPr>
          <w:p w14:paraId="1B5FB237">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p>
        </w:tc>
        <w:tc>
          <w:tcPr>
            <w:tcW w:w="1025" w:type="dxa"/>
            <w:tcBorders>
              <w:top w:val="single" w:color="000000" w:sz="6" w:space="0"/>
              <w:left w:val="single" w:color="000000" w:sz="6" w:space="0"/>
              <w:bottom w:val="single" w:color="000000" w:sz="6" w:space="0"/>
              <w:right w:val="single" w:color="000000" w:sz="6" w:space="0"/>
            </w:tcBorders>
            <w:noWrap w:val="0"/>
            <w:tcMar>
              <w:top w:w="15" w:type="dxa"/>
              <w:left w:w="15" w:type="dxa"/>
              <w:bottom w:w="0" w:type="dxa"/>
              <w:right w:w="15" w:type="dxa"/>
            </w:tcMar>
            <w:vAlign w:val="center"/>
          </w:tcPr>
          <w:p w14:paraId="6CEDE73D">
            <w:pPr>
              <w:keepNext w:val="0"/>
              <w:keepLines w:val="0"/>
              <w:pageBreakBefore w:val="0"/>
              <w:widowControl w:val="0"/>
              <w:kinsoku/>
              <w:wordWrap/>
              <w:overflowPunct w:val="0"/>
              <w:topLinePunct w:val="0"/>
              <w:autoSpaceDE/>
              <w:autoSpaceDN/>
              <w:bidi w:val="0"/>
              <w:snapToGrid w:val="0"/>
              <w:spacing w:line="240" w:lineRule="auto"/>
              <w:ind w:left="0" w:firstLine="0" w:firstLineChars="0"/>
              <w:jc w:val="center"/>
              <w:rPr>
                <w:rFonts w:hint="eastAsia" w:ascii="宋体" w:hAnsi="宋体" w:eastAsia="宋体" w:cs="宋体"/>
                <w:color w:val="auto"/>
                <w:kern w:val="0"/>
                <w:sz w:val="20"/>
                <w:szCs w:val="20"/>
                <w:highlight w:val="none"/>
                <w:shd w:val="clear" w:color="auto" w:fill="auto"/>
                <w:lang w:bidi="ar"/>
              </w:rPr>
            </w:pPr>
            <w:r>
              <w:rPr>
                <w:rFonts w:hint="eastAsia" w:ascii="宋体" w:hAnsi="宋体" w:eastAsia="宋体" w:cs="宋体"/>
                <w:color w:val="auto"/>
                <w:sz w:val="20"/>
                <w:szCs w:val="20"/>
                <w:highlight w:val="none"/>
                <w:shd w:val="clear" w:color="auto" w:fill="auto"/>
              </w:rPr>
              <w:t>调查</w:t>
            </w:r>
          </w:p>
        </w:tc>
        <w:tc>
          <w:tcPr>
            <w:tcW w:w="4750" w:type="dxa"/>
            <w:tcBorders>
              <w:top w:val="single" w:color="000000" w:sz="6" w:space="0"/>
              <w:left w:val="single" w:color="000000" w:sz="6" w:space="0"/>
              <w:bottom w:val="single" w:color="000000" w:sz="6" w:space="0"/>
              <w:right w:val="single" w:color="000000" w:sz="6" w:space="0"/>
            </w:tcBorders>
            <w:noWrap w:val="0"/>
            <w:tcMar>
              <w:top w:w="15" w:type="dxa"/>
              <w:left w:w="15" w:type="dxa"/>
              <w:bottom w:w="0" w:type="dxa"/>
              <w:right w:w="15" w:type="dxa"/>
            </w:tcMar>
            <w:vAlign w:val="center"/>
          </w:tcPr>
          <w:p w14:paraId="5C2224B1">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kern w:val="0"/>
                <w:sz w:val="20"/>
                <w:szCs w:val="20"/>
                <w:highlight w:val="none"/>
                <w:shd w:val="clear" w:color="auto" w:fill="auto"/>
                <w:lang w:bidi="ar"/>
              </w:rPr>
            </w:pPr>
            <w:r>
              <w:rPr>
                <w:rFonts w:hint="eastAsia" w:ascii="宋体" w:hAnsi="宋体" w:eastAsia="宋体" w:cs="宋体"/>
                <w:color w:val="auto"/>
                <w:sz w:val="20"/>
                <w:szCs w:val="20"/>
                <w:highlight w:val="none"/>
                <w:shd w:val="clear" w:color="auto" w:fill="auto"/>
              </w:rPr>
              <w:t>2</w:t>
            </w:r>
            <w:r>
              <w:rPr>
                <w:rFonts w:hint="eastAsia" w:ascii="宋体" w:hAnsi="宋体" w:eastAsia="宋体" w:cs="宋体"/>
                <w:color w:val="auto"/>
                <w:kern w:val="0"/>
                <w:sz w:val="20"/>
                <w:szCs w:val="20"/>
                <w:highlight w:val="none"/>
                <w:shd w:val="clear" w:color="auto" w:fill="auto"/>
              </w:rPr>
              <w:t>.调查责任：对立案的案件，案件承办人员及时、全面、客观、公正地调查收集与案件有关的证据，查明事实，必要时可进行现场检查。与当事人有直接利害关系的予以回避。执法人员不得少于两人，调查时应出示执法证件，允许当事人辩解陈述。</w:t>
            </w:r>
          </w:p>
        </w:tc>
        <w:tc>
          <w:tcPr>
            <w:tcW w:w="1929" w:type="dxa"/>
            <w:vMerge w:val="continue"/>
            <w:tcBorders>
              <w:left w:val="single" w:color="000000" w:sz="6" w:space="0"/>
              <w:right w:val="single" w:color="000000" w:sz="12" w:space="0"/>
            </w:tcBorders>
            <w:noWrap w:val="0"/>
            <w:tcMar>
              <w:top w:w="15" w:type="dxa"/>
              <w:left w:w="15" w:type="dxa"/>
              <w:bottom w:w="0" w:type="dxa"/>
              <w:right w:w="15" w:type="dxa"/>
            </w:tcMar>
            <w:vAlign w:val="center"/>
          </w:tcPr>
          <w:p w14:paraId="4B7D6E8D">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p>
        </w:tc>
        <w:tc>
          <w:tcPr>
            <w:tcW w:w="1272" w:type="dxa"/>
            <w:vMerge w:val="continue"/>
            <w:tcBorders>
              <w:left w:val="single" w:color="000000" w:sz="6" w:space="0"/>
              <w:right w:val="single" w:color="000000" w:sz="12" w:space="0"/>
            </w:tcBorders>
            <w:noWrap w:val="0"/>
            <w:tcMar>
              <w:top w:w="15" w:type="dxa"/>
              <w:left w:w="15" w:type="dxa"/>
              <w:bottom w:w="0" w:type="dxa"/>
              <w:right w:w="15" w:type="dxa"/>
            </w:tcMar>
            <w:vAlign w:val="center"/>
          </w:tcPr>
          <w:p w14:paraId="7EBD2402">
            <w:pPr>
              <w:keepNext w:val="0"/>
              <w:keepLines w:val="0"/>
              <w:pageBreakBefore w:val="0"/>
              <w:widowControl w:val="0"/>
              <w:kinsoku/>
              <w:wordWrap/>
              <w:overflowPunct w:val="0"/>
              <w:topLinePunct w:val="0"/>
              <w:autoSpaceDE/>
              <w:autoSpaceDN/>
              <w:bidi w:val="0"/>
              <w:snapToGrid w:val="0"/>
              <w:spacing w:line="240" w:lineRule="auto"/>
              <w:ind w:left="0" w:firstLine="0" w:firstLineChars="0"/>
              <w:jc w:val="center"/>
              <w:rPr>
                <w:rFonts w:hint="eastAsia" w:ascii="宋体" w:hAnsi="宋体" w:eastAsia="宋体" w:cs="宋体"/>
                <w:color w:val="auto"/>
                <w:kern w:val="0"/>
                <w:sz w:val="20"/>
                <w:szCs w:val="20"/>
                <w:highlight w:val="none"/>
                <w:shd w:val="clear" w:color="auto" w:fill="auto"/>
                <w:lang w:bidi="ar"/>
              </w:rPr>
            </w:pPr>
          </w:p>
        </w:tc>
      </w:tr>
      <w:tr w14:paraId="04A7AC6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4" w:hRule="atLeast"/>
        </w:trPr>
        <w:tc>
          <w:tcPr>
            <w:tcW w:w="460" w:type="dxa"/>
            <w:vMerge w:val="continue"/>
            <w:tcBorders>
              <w:left w:val="single" w:color="000000" w:sz="12" w:space="0"/>
              <w:right w:val="single" w:color="000000" w:sz="6" w:space="0"/>
            </w:tcBorders>
            <w:noWrap w:val="0"/>
            <w:vAlign w:val="center"/>
          </w:tcPr>
          <w:p w14:paraId="778F55F2">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p>
        </w:tc>
        <w:tc>
          <w:tcPr>
            <w:tcW w:w="1523" w:type="dxa"/>
            <w:vMerge w:val="continue"/>
            <w:tcBorders>
              <w:left w:val="single" w:color="000000" w:sz="6" w:space="0"/>
              <w:right w:val="single" w:color="000000" w:sz="6" w:space="0"/>
            </w:tcBorders>
            <w:noWrap w:val="0"/>
            <w:vAlign w:val="center"/>
          </w:tcPr>
          <w:p w14:paraId="7CD7E76C">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kern w:val="0"/>
                <w:sz w:val="20"/>
                <w:szCs w:val="20"/>
                <w:highlight w:val="none"/>
                <w:shd w:val="clear" w:color="auto" w:fill="auto"/>
                <w:lang w:bidi="ar"/>
              </w:rPr>
            </w:pPr>
          </w:p>
        </w:tc>
        <w:tc>
          <w:tcPr>
            <w:tcW w:w="3927" w:type="dxa"/>
            <w:vMerge w:val="continue"/>
            <w:tcBorders>
              <w:left w:val="single" w:color="000000" w:sz="6" w:space="0"/>
              <w:right w:val="single" w:color="000000" w:sz="6" w:space="0"/>
            </w:tcBorders>
            <w:noWrap w:val="0"/>
            <w:vAlign w:val="center"/>
          </w:tcPr>
          <w:p w14:paraId="20C47667">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kern w:val="0"/>
                <w:sz w:val="20"/>
                <w:szCs w:val="20"/>
                <w:highlight w:val="none"/>
                <w:shd w:val="clear" w:color="auto" w:fill="auto"/>
                <w:lang w:bidi="ar"/>
              </w:rPr>
            </w:pPr>
          </w:p>
        </w:tc>
        <w:tc>
          <w:tcPr>
            <w:tcW w:w="1212" w:type="dxa"/>
            <w:vMerge w:val="continue"/>
            <w:tcBorders>
              <w:left w:val="single" w:color="000000" w:sz="6" w:space="0"/>
              <w:right w:val="single" w:color="000000" w:sz="6" w:space="0"/>
            </w:tcBorders>
            <w:noWrap w:val="0"/>
            <w:vAlign w:val="center"/>
          </w:tcPr>
          <w:p w14:paraId="51F245A7">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p>
        </w:tc>
        <w:tc>
          <w:tcPr>
            <w:tcW w:w="1025" w:type="dxa"/>
            <w:tcBorders>
              <w:top w:val="single" w:color="000000" w:sz="6" w:space="0"/>
              <w:left w:val="single" w:color="000000" w:sz="6" w:space="0"/>
              <w:bottom w:val="single" w:color="000000" w:sz="6" w:space="0"/>
              <w:right w:val="single" w:color="000000" w:sz="6" w:space="0"/>
            </w:tcBorders>
            <w:noWrap w:val="0"/>
            <w:tcMar>
              <w:top w:w="15" w:type="dxa"/>
              <w:left w:w="15" w:type="dxa"/>
              <w:bottom w:w="0" w:type="dxa"/>
              <w:right w:w="15" w:type="dxa"/>
            </w:tcMar>
            <w:vAlign w:val="center"/>
          </w:tcPr>
          <w:p w14:paraId="5CE80BB4">
            <w:pPr>
              <w:keepNext w:val="0"/>
              <w:keepLines w:val="0"/>
              <w:pageBreakBefore w:val="0"/>
              <w:widowControl w:val="0"/>
              <w:kinsoku/>
              <w:wordWrap/>
              <w:overflowPunct w:val="0"/>
              <w:topLinePunct w:val="0"/>
              <w:autoSpaceDE/>
              <w:autoSpaceDN/>
              <w:bidi w:val="0"/>
              <w:snapToGrid w:val="0"/>
              <w:spacing w:line="240" w:lineRule="auto"/>
              <w:ind w:left="0" w:firstLine="0" w:firstLineChars="0"/>
              <w:jc w:val="center"/>
              <w:rPr>
                <w:rFonts w:hint="eastAsia" w:ascii="宋体" w:hAnsi="宋体" w:eastAsia="宋体" w:cs="宋体"/>
                <w:color w:val="auto"/>
                <w:kern w:val="0"/>
                <w:sz w:val="20"/>
                <w:szCs w:val="20"/>
                <w:highlight w:val="none"/>
                <w:shd w:val="clear" w:color="auto" w:fill="auto"/>
                <w:lang w:bidi="ar"/>
              </w:rPr>
            </w:pPr>
            <w:r>
              <w:rPr>
                <w:rFonts w:hint="eastAsia" w:ascii="宋体" w:hAnsi="宋体" w:eastAsia="宋体" w:cs="宋体"/>
                <w:color w:val="auto"/>
                <w:sz w:val="20"/>
                <w:szCs w:val="20"/>
                <w:highlight w:val="none"/>
                <w:shd w:val="clear" w:color="auto" w:fill="auto"/>
              </w:rPr>
              <w:t>审查</w:t>
            </w:r>
          </w:p>
        </w:tc>
        <w:tc>
          <w:tcPr>
            <w:tcW w:w="4750" w:type="dxa"/>
            <w:tcBorders>
              <w:top w:val="single" w:color="000000" w:sz="6" w:space="0"/>
              <w:left w:val="single" w:color="000000" w:sz="6" w:space="0"/>
              <w:bottom w:val="single" w:color="000000" w:sz="6" w:space="0"/>
              <w:right w:val="single" w:color="000000" w:sz="6" w:space="0"/>
            </w:tcBorders>
            <w:noWrap w:val="0"/>
            <w:tcMar>
              <w:top w:w="15" w:type="dxa"/>
              <w:left w:w="15" w:type="dxa"/>
              <w:bottom w:w="0" w:type="dxa"/>
              <w:right w:w="15" w:type="dxa"/>
            </w:tcMar>
            <w:vAlign w:val="center"/>
          </w:tcPr>
          <w:p w14:paraId="754F677D">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kern w:val="0"/>
                <w:sz w:val="20"/>
                <w:szCs w:val="20"/>
                <w:highlight w:val="none"/>
                <w:shd w:val="clear" w:color="auto" w:fill="auto"/>
                <w:lang w:bidi="ar"/>
              </w:rPr>
            </w:pPr>
            <w:r>
              <w:rPr>
                <w:rFonts w:hint="eastAsia" w:ascii="宋体" w:hAnsi="宋体" w:eastAsia="宋体" w:cs="宋体"/>
                <w:color w:val="auto"/>
                <w:sz w:val="20"/>
                <w:szCs w:val="20"/>
                <w:highlight w:val="none"/>
                <w:shd w:val="clear" w:color="auto" w:fill="auto"/>
              </w:rPr>
              <w:t>3、</w:t>
            </w:r>
            <w:r>
              <w:rPr>
                <w:rFonts w:hint="eastAsia" w:ascii="宋体" w:hAnsi="宋体" w:eastAsia="宋体" w:cs="宋体"/>
                <w:color w:val="auto"/>
                <w:spacing w:val="-6"/>
                <w:kern w:val="0"/>
                <w:sz w:val="20"/>
                <w:szCs w:val="20"/>
                <w:highlight w:val="none"/>
                <w:shd w:val="clear" w:color="auto" w:fill="auto"/>
              </w:rPr>
              <w:t>审查责任：对案件违法事实、证据、调查取证程序、法律适用、处罚种类和幅度、当事人陈述和申辩理由等方面进行审查，提出处理意见。</w:t>
            </w:r>
          </w:p>
        </w:tc>
        <w:tc>
          <w:tcPr>
            <w:tcW w:w="1929" w:type="dxa"/>
            <w:vMerge w:val="continue"/>
            <w:tcBorders>
              <w:left w:val="single" w:color="000000" w:sz="6" w:space="0"/>
              <w:right w:val="single" w:color="000000" w:sz="12" w:space="0"/>
            </w:tcBorders>
            <w:noWrap w:val="0"/>
            <w:tcMar>
              <w:top w:w="15" w:type="dxa"/>
              <w:left w:w="15" w:type="dxa"/>
              <w:bottom w:w="0" w:type="dxa"/>
              <w:right w:w="15" w:type="dxa"/>
            </w:tcMar>
            <w:vAlign w:val="center"/>
          </w:tcPr>
          <w:p w14:paraId="15E2561F">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p>
        </w:tc>
        <w:tc>
          <w:tcPr>
            <w:tcW w:w="1272" w:type="dxa"/>
            <w:vMerge w:val="continue"/>
            <w:tcBorders>
              <w:left w:val="single" w:color="000000" w:sz="6" w:space="0"/>
              <w:right w:val="single" w:color="000000" w:sz="12" w:space="0"/>
            </w:tcBorders>
            <w:noWrap w:val="0"/>
            <w:tcMar>
              <w:top w:w="15" w:type="dxa"/>
              <w:left w:w="15" w:type="dxa"/>
              <w:bottom w:w="0" w:type="dxa"/>
              <w:right w:w="15" w:type="dxa"/>
            </w:tcMar>
            <w:vAlign w:val="center"/>
          </w:tcPr>
          <w:p w14:paraId="4006A5DD">
            <w:pPr>
              <w:keepNext w:val="0"/>
              <w:keepLines w:val="0"/>
              <w:pageBreakBefore w:val="0"/>
              <w:widowControl w:val="0"/>
              <w:kinsoku/>
              <w:wordWrap/>
              <w:overflowPunct w:val="0"/>
              <w:topLinePunct w:val="0"/>
              <w:autoSpaceDE/>
              <w:autoSpaceDN/>
              <w:bidi w:val="0"/>
              <w:snapToGrid w:val="0"/>
              <w:spacing w:line="240" w:lineRule="auto"/>
              <w:ind w:left="0" w:firstLine="0" w:firstLineChars="0"/>
              <w:jc w:val="center"/>
              <w:rPr>
                <w:rFonts w:hint="eastAsia" w:ascii="宋体" w:hAnsi="宋体" w:eastAsia="宋体" w:cs="宋体"/>
                <w:color w:val="auto"/>
                <w:kern w:val="0"/>
                <w:sz w:val="20"/>
                <w:szCs w:val="20"/>
                <w:highlight w:val="none"/>
                <w:shd w:val="clear" w:color="auto" w:fill="auto"/>
                <w:lang w:bidi="ar"/>
              </w:rPr>
            </w:pPr>
          </w:p>
        </w:tc>
      </w:tr>
      <w:tr w14:paraId="071AB14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945" w:hRule="atLeast"/>
        </w:trPr>
        <w:tc>
          <w:tcPr>
            <w:tcW w:w="460" w:type="dxa"/>
            <w:vMerge w:val="continue"/>
            <w:tcBorders>
              <w:left w:val="single" w:color="000000" w:sz="12" w:space="0"/>
              <w:right w:val="single" w:color="000000" w:sz="6" w:space="0"/>
            </w:tcBorders>
            <w:noWrap w:val="0"/>
            <w:vAlign w:val="center"/>
          </w:tcPr>
          <w:p w14:paraId="4FA27958">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p>
        </w:tc>
        <w:tc>
          <w:tcPr>
            <w:tcW w:w="1523" w:type="dxa"/>
            <w:vMerge w:val="continue"/>
            <w:tcBorders>
              <w:left w:val="single" w:color="000000" w:sz="6" w:space="0"/>
              <w:right w:val="single" w:color="000000" w:sz="6" w:space="0"/>
            </w:tcBorders>
            <w:noWrap w:val="0"/>
            <w:vAlign w:val="center"/>
          </w:tcPr>
          <w:p w14:paraId="55B05EC6">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kern w:val="0"/>
                <w:sz w:val="20"/>
                <w:szCs w:val="20"/>
                <w:highlight w:val="none"/>
                <w:shd w:val="clear" w:color="auto" w:fill="auto"/>
                <w:lang w:bidi="ar"/>
              </w:rPr>
            </w:pPr>
          </w:p>
        </w:tc>
        <w:tc>
          <w:tcPr>
            <w:tcW w:w="3927" w:type="dxa"/>
            <w:vMerge w:val="continue"/>
            <w:tcBorders>
              <w:left w:val="single" w:color="000000" w:sz="6" w:space="0"/>
              <w:right w:val="single" w:color="000000" w:sz="6" w:space="0"/>
            </w:tcBorders>
            <w:noWrap w:val="0"/>
            <w:vAlign w:val="center"/>
          </w:tcPr>
          <w:p w14:paraId="405BB388">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kern w:val="0"/>
                <w:sz w:val="20"/>
                <w:szCs w:val="20"/>
                <w:highlight w:val="none"/>
                <w:shd w:val="clear" w:color="auto" w:fill="auto"/>
                <w:lang w:bidi="ar"/>
              </w:rPr>
            </w:pPr>
          </w:p>
        </w:tc>
        <w:tc>
          <w:tcPr>
            <w:tcW w:w="1212" w:type="dxa"/>
            <w:vMerge w:val="continue"/>
            <w:tcBorders>
              <w:left w:val="single" w:color="000000" w:sz="6" w:space="0"/>
              <w:right w:val="single" w:color="000000" w:sz="6" w:space="0"/>
            </w:tcBorders>
            <w:noWrap w:val="0"/>
            <w:vAlign w:val="center"/>
          </w:tcPr>
          <w:p w14:paraId="334FB443">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p>
        </w:tc>
        <w:tc>
          <w:tcPr>
            <w:tcW w:w="1025" w:type="dxa"/>
            <w:tcBorders>
              <w:top w:val="single" w:color="000000" w:sz="6" w:space="0"/>
              <w:left w:val="single" w:color="000000" w:sz="6" w:space="0"/>
              <w:bottom w:val="single" w:color="000000" w:sz="6" w:space="0"/>
              <w:right w:val="single" w:color="000000" w:sz="6" w:space="0"/>
            </w:tcBorders>
            <w:noWrap w:val="0"/>
            <w:tcMar>
              <w:top w:w="15" w:type="dxa"/>
              <w:left w:w="15" w:type="dxa"/>
              <w:bottom w:w="0" w:type="dxa"/>
              <w:right w:w="15" w:type="dxa"/>
            </w:tcMar>
            <w:vAlign w:val="center"/>
          </w:tcPr>
          <w:p w14:paraId="5D40864F">
            <w:pPr>
              <w:keepNext w:val="0"/>
              <w:keepLines w:val="0"/>
              <w:pageBreakBefore w:val="0"/>
              <w:widowControl w:val="0"/>
              <w:kinsoku/>
              <w:wordWrap/>
              <w:overflowPunct w:val="0"/>
              <w:topLinePunct w:val="0"/>
              <w:autoSpaceDE/>
              <w:autoSpaceDN/>
              <w:bidi w:val="0"/>
              <w:snapToGrid w:val="0"/>
              <w:spacing w:line="240" w:lineRule="auto"/>
              <w:ind w:left="0" w:firstLine="0" w:firstLineChars="0"/>
              <w:jc w:val="center"/>
              <w:rPr>
                <w:rFonts w:hint="eastAsia" w:ascii="宋体" w:hAnsi="宋体" w:eastAsia="宋体" w:cs="宋体"/>
                <w:color w:val="auto"/>
                <w:kern w:val="0"/>
                <w:sz w:val="20"/>
                <w:szCs w:val="20"/>
                <w:highlight w:val="none"/>
                <w:shd w:val="clear" w:color="auto" w:fill="auto"/>
                <w:lang w:bidi="ar"/>
              </w:rPr>
            </w:pPr>
            <w:r>
              <w:rPr>
                <w:rFonts w:hint="eastAsia" w:ascii="宋体" w:hAnsi="宋体" w:eastAsia="宋体" w:cs="宋体"/>
                <w:color w:val="auto"/>
                <w:sz w:val="20"/>
                <w:szCs w:val="20"/>
                <w:highlight w:val="none"/>
                <w:shd w:val="clear" w:color="auto" w:fill="auto"/>
              </w:rPr>
              <w:t>告知</w:t>
            </w:r>
          </w:p>
        </w:tc>
        <w:tc>
          <w:tcPr>
            <w:tcW w:w="4750" w:type="dxa"/>
            <w:tcBorders>
              <w:top w:val="single" w:color="000000" w:sz="6" w:space="0"/>
              <w:left w:val="single" w:color="000000" w:sz="6" w:space="0"/>
              <w:bottom w:val="single" w:color="000000" w:sz="6" w:space="0"/>
              <w:right w:val="single" w:color="000000" w:sz="6" w:space="0"/>
            </w:tcBorders>
            <w:noWrap w:val="0"/>
            <w:tcMar>
              <w:top w:w="15" w:type="dxa"/>
              <w:left w:w="15" w:type="dxa"/>
              <w:bottom w:w="0" w:type="dxa"/>
              <w:right w:w="15" w:type="dxa"/>
            </w:tcMar>
            <w:vAlign w:val="center"/>
          </w:tcPr>
          <w:p w14:paraId="2B5D69BD">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kern w:val="0"/>
                <w:sz w:val="20"/>
                <w:szCs w:val="20"/>
                <w:highlight w:val="none"/>
                <w:shd w:val="clear" w:color="auto" w:fill="auto"/>
                <w:lang w:bidi="ar"/>
              </w:rPr>
            </w:pPr>
            <w:r>
              <w:rPr>
                <w:rFonts w:hint="eastAsia" w:ascii="宋体" w:hAnsi="宋体" w:eastAsia="宋体" w:cs="宋体"/>
                <w:color w:val="auto"/>
                <w:sz w:val="20"/>
                <w:szCs w:val="20"/>
                <w:highlight w:val="none"/>
                <w:shd w:val="clear" w:color="auto" w:fill="auto"/>
              </w:rPr>
              <w:t>4、</w:t>
            </w:r>
            <w:r>
              <w:rPr>
                <w:rFonts w:hint="eastAsia" w:ascii="宋体" w:hAnsi="宋体" w:eastAsia="宋体" w:cs="宋体"/>
                <w:color w:val="auto"/>
                <w:kern w:val="0"/>
                <w:sz w:val="20"/>
                <w:szCs w:val="20"/>
                <w:highlight w:val="none"/>
                <w:shd w:val="clear" w:color="auto" w:fill="auto"/>
              </w:rPr>
              <w:t>告知责任：在做出行政处罚决定前，书面告知当事人拟作出处罚决定的事实、理由、依据、处罚内容，以及当事人享有的陈述权、申辩权或听证权。</w:t>
            </w:r>
          </w:p>
        </w:tc>
        <w:tc>
          <w:tcPr>
            <w:tcW w:w="1929" w:type="dxa"/>
            <w:vMerge w:val="continue"/>
            <w:tcBorders>
              <w:left w:val="single" w:color="000000" w:sz="6" w:space="0"/>
              <w:right w:val="single" w:color="000000" w:sz="12" w:space="0"/>
            </w:tcBorders>
            <w:noWrap w:val="0"/>
            <w:tcMar>
              <w:top w:w="15" w:type="dxa"/>
              <w:left w:w="15" w:type="dxa"/>
              <w:bottom w:w="0" w:type="dxa"/>
              <w:right w:w="15" w:type="dxa"/>
            </w:tcMar>
            <w:vAlign w:val="center"/>
          </w:tcPr>
          <w:p w14:paraId="6CCA6751">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p>
        </w:tc>
        <w:tc>
          <w:tcPr>
            <w:tcW w:w="1272" w:type="dxa"/>
            <w:vMerge w:val="continue"/>
            <w:tcBorders>
              <w:left w:val="single" w:color="000000" w:sz="6" w:space="0"/>
              <w:right w:val="single" w:color="000000" w:sz="12" w:space="0"/>
            </w:tcBorders>
            <w:noWrap w:val="0"/>
            <w:tcMar>
              <w:top w:w="15" w:type="dxa"/>
              <w:left w:w="15" w:type="dxa"/>
              <w:bottom w:w="0" w:type="dxa"/>
              <w:right w:w="15" w:type="dxa"/>
            </w:tcMar>
            <w:vAlign w:val="center"/>
          </w:tcPr>
          <w:p w14:paraId="771CC0B3">
            <w:pPr>
              <w:keepNext w:val="0"/>
              <w:keepLines w:val="0"/>
              <w:pageBreakBefore w:val="0"/>
              <w:widowControl w:val="0"/>
              <w:kinsoku/>
              <w:wordWrap/>
              <w:overflowPunct w:val="0"/>
              <w:topLinePunct w:val="0"/>
              <w:autoSpaceDE/>
              <w:autoSpaceDN/>
              <w:bidi w:val="0"/>
              <w:snapToGrid w:val="0"/>
              <w:spacing w:line="240" w:lineRule="auto"/>
              <w:ind w:left="0" w:firstLine="0" w:firstLineChars="0"/>
              <w:jc w:val="center"/>
              <w:rPr>
                <w:rFonts w:hint="eastAsia" w:ascii="宋体" w:hAnsi="宋体" w:eastAsia="宋体" w:cs="宋体"/>
                <w:color w:val="auto"/>
                <w:kern w:val="0"/>
                <w:sz w:val="20"/>
                <w:szCs w:val="20"/>
                <w:highlight w:val="none"/>
                <w:shd w:val="clear" w:color="auto" w:fill="auto"/>
                <w:lang w:bidi="ar"/>
              </w:rPr>
            </w:pPr>
          </w:p>
        </w:tc>
      </w:tr>
      <w:tr w14:paraId="5F33E3E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4" w:hRule="atLeast"/>
        </w:trPr>
        <w:tc>
          <w:tcPr>
            <w:tcW w:w="460" w:type="dxa"/>
            <w:vMerge w:val="continue"/>
            <w:tcBorders>
              <w:left w:val="single" w:color="000000" w:sz="12" w:space="0"/>
              <w:right w:val="single" w:color="000000" w:sz="6" w:space="0"/>
            </w:tcBorders>
            <w:noWrap w:val="0"/>
            <w:vAlign w:val="center"/>
          </w:tcPr>
          <w:p w14:paraId="5F18478A">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p>
        </w:tc>
        <w:tc>
          <w:tcPr>
            <w:tcW w:w="1523" w:type="dxa"/>
            <w:vMerge w:val="continue"/>
            <w:tcBorders>
              <w:left w:val="single" w:color="000000" w:sz="6" w:space="0"/>
              <w:right w:val="single" w:color="000000" w:sz="6" w:space="0"/>
            </w:tcBorders>
            <w:noWrap w:val="0"/>
            <w:vAlign w:val="center"/>
          </w:tcPr>
          <w:p w14:paraId="375597C0">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kern w:val="0"/>
                <w:sz w:val="20"/>
                <w:szCs w:val="20"/>
                <w:highlight w:val="none"/>
                <w:shd w:val="clear" w:color="auto" w:fill="auto"/>
                <w:lang w:bidi="ar"/>
              </w:rPr>
            </w:pPr>
          </w:p>
        </w:tc>
        <w:tc>
          <w:tcPr>
            <w:tcW w:w="3927" w:type="dxa"/>
            <w:vMerge w:val="continue"/>
            <w:tcBorders>
              <w:left w:val="single" w:color="000000" w:sz="6" w:space="0"/>
              <w:right w:val="single" w:color="000000" w:sz="6" w:space="0"/>
            </w:tcBorders>
            <w:noWrap w:val="0"/>
            <w:vAlign w:val="center"/>
          </w:tcPr>
          <w:p w14:paraId="76E58653">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kern w:val="0"/>
                <w:sz w:val="20"/>
                <w:szCs w:val="20"/>
                <w:highlight w:val="none"/>
                <w:shd w:val="clear" w:color="auto" w:fill="auto"/>
                <w:lang w:bidi="ar"/>
              </w:rPr>
            </w:pPr>
          </w:p>
        </w:tc>
        <w:tc>
          <w:tcPr>
            <w:tcW w:w="1212" w:type="dxa"/>
            <w:vMerge w:val="continue"/>
            <w:tcBorders>
              <w:left w:val="single" w:color="000000" w:sz="6" w:space="0"/>
              <w:right w:val="single" w:color="000000" w:sz="6" w:space="0"/>
            </w:tcBorders>
            <w:noWrap w:val="0"/>
            <w:vAlign w:val="center"/>
          </w:tcPr>
          <w:p w14:paraId="46CCFE8C">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p>
        </w:tc>
        <w:tc>
          <w:tcPr>
            <w:tcW w:w="1025" w:type="dxa"/>
            <w:tcBorders>
              <w:top w:val="single" w:color="000000" w:sz="6" w:space="0"/>
              <w:left w:val="single" w:color="000000" w:sz="6" w:space="0"/>
              <w:bottom w:val="single" w:color="000000" w:sz="6" w:space="0"/>
              <w:right w:val="single" w:color="000000" w:sz="6" w:space="0"/>
            </w:tcBorders>
            <w:noWrap w:val="0"/>
            <w:tcMar>
              <w:top w:w="15" w:type="dxa"/>
              <w:left w:w="15" w:type="dxa"/>
              <w:bottom w:w="0" w:type="dxa"/>
              <w:right w:w="15" w:type="dxa"/>
            </w:tcMar>
            <w:vAlign w:val="center"/>
          </w:tcPr>
          <w:p w14:paraId="1BC4D7B3">
            <w:pPr>
              <w:keepNext w:val="0"/>
              <w:keepLines w:val="0"/>
              <w:pageBreakBefore w:val="0"/>
              <w:widowControl w:val="0"/>
              <w:kinsoku/>
              <w:wordWrap/>
              <w:overflowPunct w:val="0"/>
              <w:topLinePunct w:val="0"/>
              <w:autoSpaceDE/>
              <w:autoSpaceDN/>
              <w:bidi w:val="0"/>
              <w:snapToGrid w:val="0"/>
              <w:spacing w:line="240" w:lineRule="auto"/>
              <w:ind w:left="0" w:firstLine="0" w:firstLineChars="0"/>
              <w:jc w:val="center"/>
              <w:rPr>
                <w:rFonts w:hint="eastAsia" w:ascii="宋体" w:hAnsi="宋体" w:eastAsia="宋体" w:cs="宋体"/>
                <w:color w:val="auto"/>
                <w:kern w:val="0"/>
                <w:sz w:val="20"/>
                <w:szCs w:val="20"/>
                <w:highlight w:val="none"/>
                <w:shd w:val="clear" w:color="auto" w:fill="auto"/>
                <w:lang w:bidi="ar"/>
              </w:rPr>
            </w:pPr>
            <w:r>
              <w:rPr>
                <w:rFonts w:hint="eastAsia" w:ascii="宋体" w:hAnsi="宋体" w:eastAsia="宋体" w:cs="宋体"/>
                <w:color w:val="auto"/>
                <w:sz w:val="20"/>
                <w:szCs w:val="20"/>
                <w:highlight w:val="none"/>
                <w:shd w:val="clear" w:color="auto" w:fill="auto"/>
              </w:rPr>
              <w:t>决定</w:t>
            </w:r>
          </w:p>
        </w:tc>
        <w:tc>
          <w:tcPr>
            <w:tcW w:w="4750" w:type="dxa"/>
            <w:tcBorders>
              <w:top w:val="single" w:color="000000" w:sz="6" w:space="0"/>
              <w:left w:val="single" w:color="000000" w:sz="6" w:space="0"/>
              <w:bottom w:val="single" w:color="000000" w:sz="6" w:space="0"/>
              <w:right w:val="single" w:color="000000" w:sz="6" w:space="0"/>
            </w:tcBorders>
            <w:noWrap w:val="0"/>
            <w:tcMar>
              <w:top w:w="15" w:type="dxa"/>
              <w:left w:w="15" w:type="dxa"/>
              <w:bottom w:w="0" w:type="dxa"/>
              <w:right w:w="15" w:type="dxa"/>
            </w:tcMar>
            <w:vAlign w:val="center"/>
          </w:tcPr>
          <w:p w14:paraId="1C7F4866">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kern w:val="0"/>
                <w:sz w:val="20"/>
                <w:szCs w:val="20"/>
                <w:highlight w:val="none"/>
                <w:shd w:val="clear" w:color="auto" w:fill="auto"/>
                <w:lang w:bidi="ar"/>
              </w:rPr>
            </w:pPr>
            <w:r>
              <w:rPr>
                <w:rFonts w:hint="eastAsia" w:ascii="宋体" w:hAnsi="宋体" w:eastAsia="宋体" w:cs="宋体"/>
                <w:color w:val="auto"/>
                <w:sz w:val="20"/>
                <w:szCs w:val="20"/>
                <w:highlight w:val="none"/>
                <w:shd w:val="clear" w:color="auto" w:fill="auto"/>
              </w:rPr>
              <w:t>5、</w:t>
            </w:r>
            <w:r>
              <w:rPr>
                <w:rFonts w:hint="eastAsia" w:ascii="宋体" w:hAnsi="宋体" w:eastAsia="宋体" w:cs="宋体"/>
                <w:color w:val="auto"/>
                <w:kern w:val="0"/>
                <w:sz w:val="20"/>
                <w:szCs w:val="20"/>
                <w:highlight w:val="none"/>
                <w:shd w:val="clear" w:color="auto" w:fill="auto"/>
              </w:rPr>
              <w:t>决定责任：依法需要给予行政处罚的，应制作《行政处罚决定书》，载明违法事实和证据、处罚依据和内容、申请行政复议或提起行政诉讼的途径和期限等内容。</w:t>
            </w:r>
          </w:p>
        </w:tc>
        <w:tc>
          <w:tcPr>
            <w:tcW w:w="1929" w:type="dxa"/>
            <w:vMerge w:val="continue"/>
            <w:tcBorders>
              <w:left w:val="single" w:color="000000" w:sz="6" w:space="0"/>
              <w:right w:val="single" w:color="000000" w:sz="12" w:space="0"/>
            </w:tcBorders>
            <w:noWrap w:val="0"/>
            <w:tcMar>
              <w:top w:w="15" w:type="dxa"/>
              <w:left w:w="15" w:type="dxa"/>
              <w:bottom w:w="0" w:type="dxa"/>
              <w:right w:w="15" w:type="dxa"/>
            </w:tcMar>
            <w:vAlign w:val="center"/>
          </w:tcPr>
          <w:p w14:paraId="44ADA320">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p>
        </w:tc>
        <w:tc>
          <w:tcPr>
            <w:tcW w:w="1272" w:type="dxa"/>
            <w:vMerge w:val="continue"/>
            <w:tcBorders>
              <w:left w:val="single" w:color="000000" w:sz="6" w:space="0"/>
              <w:right w:val="single" w:color="000000" w:sz="12" w:space="0"/>
            </w:tcBorders>
            <w:noWrap w:val="0"/>
            <w:tcMar>
              <w:top w:w="15" w:type="dxa"/>
              <w:left w:w="15" w:type="dxa"/>
              <w:bottom w:w="0" w:type="dxa"/>
              <w:right w:w="15" w:type="dxa"/>
            </w:tcMar>
            <w:vAlign w:val="center"/>
          </w:tcPr>
          <w:p w14:paraId="2E328F40">
            <w:pPr>
              <w:keepNext w:val="0"/>
              <w:keepLines w:val="0"/>
              <w:pageBreakBefore w:val="0"/>
              <w:widowControl w:val="0"/>
              <w:kinsoku/>
              <w:wordWrap/>
              <w:overflowPunct w:val="0"/>
              <w:topLinePunct w:val="0"/>
              <w:autoSpaceDE/>
              <w:autoSpaceDN/>
              <w:bidi w:val="0"/>
              <w:snapToGrid w:val="0"/>
              <w:spacing w:line="240" w:lineRule="auto"/>
              <w:ind w:left="0" w:firstLine="0" w:firstLineChars="0"/>
              <w:jc w:val="center"/>
              <w:rPr>
                <w:rFonts w:hint="eastAsia" w:ascii="宋体" w:hAnsi="宋体" w:eastAsia="宋体" w:cs="宋体"/>
                <w:color w:val="auto"/>
                <w:kern w:val="0"/>
                <w:sz w:val="20"/>
                <w:szCs w:val="20"/>
                <w:highlight w:val="none"/>
                <w:shd w:val="clear" w:color="auto" w:fill="auto"/>
                <w:lang w:bidi="ar"/>
              </w:rPr>
            </w:pPr>
          </w:p>
        </w:tc>
      </w:tr>
      <w:tr w14:paraId="1C4DED1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4" w:hRule="atLeast"/>
        </w:trPr>
        <w:tc>
          <w:tcPr>
            <w:tcW w:w="460" w:type="dxa"/>
            <w:vMerge w:val="continue"/>
            <w:tcBorders>
              <w:left w:val="single" w:color="000000" w:sz="12" w:space="0"/>
              <w:right w:val="single" w:color="000000" w:sz="6" w:space="0"/>
            </w:tcBorders>
            <w:noWrap w:val="0"/>
            <w:vAlign w:val="center"/>
          </w:tcPr>
          <w:p w14:paraId="326C365C">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p>
        </w:tc>
        <w:tc>
          <w:tcPr>
            <w:tcW w:w="1523" w:type="dxa"/>
            <w:vMerge w:val="continue"/>
            <w:tcBorders>
              <w:left w:val="single" w:color="000000" w:sz="6" w:space="0"/>
              <w:right w:val="single" w:color="000000" w:sz="6" w:space="0"/>
            </w:tcBorders>
            <w:noWrap w:val="0"/>
            <w:vAlign w:val="center"/>
          </w:tcPr>
          <w:p w14:paraId="31FA6443">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kern w:val="0"/>
                <w:sz w:val="20"/>
                <w:szCs w:val="20"/>
                <w:highlight w:val="none"/>
                <w:shd w:val="clear" w:color="auto" w:fill="auto"/>
                <w:lang w:bidi="ar"/>
              </w:rPr>
            </w:pPr>
          </w:p>
        </w:tc>
        <w:tc>
          <w:tcPr>
            <w:tcW w:w="3927" w:type="dxa"/>
            <w:vMerge w:val="continue"/>
            <w:tcBorders>
              <w:left w:val="single" w:color="000000" w:sz="6" w:space="0"/>
              <w:right w:val="single" w:color="000000" w:sz="6" w:space="0"/>
            </w:tcBorders>
            <w:noWrap w:val="0"/>
            <w:vAlign w:val="center"/>
          </w:tcPr>
          <w:p w14:paraId="79CB75F0">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kern w:val="0"/>
                <w:sz w:val="20"/>
                <w:szCs w:val="20"/>
                <w:highlight w:val="none"/>
                <w:shd w:val="clear" w:color="auto" w:fill="auto"/>
                <w:lang w:bidi="ar"/>
              </w:rPr>
            </w:pPr>
          </w:p>
        </w:tc>
        <w:tc>
          <w:tcPr>
            <w:tcW w:w="1212" w:type="dxa"/>
            <w:vMerge w:val="continue"/>
            <w:tcBorders>
              <w:left w:val="single" w:color="000000" w:sz="6" w:space="0"/>
              <w:right w:val="single" w:color="000000" w:sz="6" w:space="0"/>
            </w:tcBorders>
            <w:noWrap w:val="0"/>
            <w:vAlign w:val="center"/>
          </w:tcPr>
          <w:p w14:paraId="629A6E20">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p>
        </w:tc>
        <w:tc>
          <w:tcPr>
            <w:tcW w:w="1025" w:type="dxa"/>
            <w:tcBorders>
              <w:top w:val="single" w:color="000000" w:sz="6" w:space="0"/>
              <w:left w:val="single" w:color="000000" w:sz="6" w:space="0"/>
              <w:bottom w:val="single" w:color="000000" w:sz="6" w:space="0"/>
              <w:right w:val="single" w:color="000000" w:sz="6" w:space="0"/>
            </w:tcBorders>
            <w:noWrap w:val="0"/>
            <w:tcMar>
              <w:top w:w="15" w:type="dxa"/>
              <w:left w:w="15" w:type="dxa"/>
              <w:bottom w:w="0" w:type="dxa"/>
              <w:right w:w="15" w:type="dxa"/>
            </w:tcMar>
            <w:vAlign w:val="center"/>
          </w:tcPr>
          <w:p w14:paraId="4E85E7BB">
            <w:pPr>
              <w:keepNext w:val="0"/>
              <w:keepLines w:val="0"/>
              <w:pageBreakBefore w:val="0"/>
              <w:widowControl w:val="0"/>
              <w:kinsoku/>
              <w:wordWrap/>
              <w:overflowPunct w:val="0"/>
              <w:topLinePunct w:val="0"/>
              <w:autoSpaceDE/>
              <w:autoSpaceDN/>
              <w:bidi w:val="0"/>
              <w:snapToGrid w:val="0"/>
              <w:spacing w:line="240" w:lineRule="auto"/>
              <w:ind w:left="0" w:firstLine="0" w:firstLineChars="0"/>
              <w:jc w:val="center"/>
              <w:rPr>
                <w:rFonts w:hint="eastAsia" w:ascii="宋体" w:hAnsi="宋体" w:eastAsia="宋体" w:cs="宋体"/>
                <w:color w:val="auto"/>
                <w:kern w:val="0"/>
                <w:sz w:val="20"/>
                <w:szCs w:val="20"/>
                <w:highlight w:val="none"/>
                <w:shd w:val="clear" w:color="auto" w:fill="auto"/>
                <w:lang w:bidi="ar"/>
              </w:rPr>
            </w:pPr>
            <w:r>
              <w:rPr>
                <w:rFonts w:hint="eastAsia" w:ascii="宋体" w:hAnsi="宋体" w:eastAsia="宋体" w:cs="宋体"/>
                <w:color w:val="auto"/>
                <w:sz w:val="20"/>
                <w:szCs w:val="20"/>
                <w:highlight w:val="none"/>
                <w:shd w:val="clear" w:color="auto" w:fill="auto"/>
              </w:rPr>
              <w:t>送达</w:t>
            </w:r>
          </w:p>
        </w:tc>
        <w:tc>
          <w:tcPr>
            <w:tcW w:w="4750" w:type="dxa"/>
            <w:tcBorders>
              <w:top w:val="single" w:color="000000" w:sz="6" w:space="0"/>
              <w:left w:val="single" w:color="000000" w:sz="6" w:space="0"/>
              <w:bottom w:val="single" w:color="000000" w:sz="6" w:space="0"/>
              <w:right w:val="single" w:color="000000" w:sz="6" w:space="0"/>
            </w:tcBorders>
            <w:noWrap w:val="0"/>
            <w:tcMar>
              <w:top w:w="15" w:type="dxa"/>
              <w:left w:w="15" w:type="dxa"/>
              <w:bottom w:w="0" w:type="dxa"/>
              <w:right w:w="15" w:type="dxa"/>
            </w:tcMar>
            <w:vAlign w:val="center"/>
          </w:tcPr>
          <w:p w14:paraId="614BC7C2">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kern w:val="0"/>
                <w:sz w:val="20"/>
                <w:szCs w:val="20"/>
                <w:highlight w:val="none"/>
                <w:shd w:val="clear" w:color="auto" w:fill="auto"/>
                <w:lang w:bidi="ar"/>
              </w:rPr>
            </w:pPr>
            <w:r>
              <w:rPr>
                <w:rFonts w:hint="eastAsia" w:ascii="宋体" w:hAnsi="宋体" w:eastAsia="宋体" w:cs="宋体"/>
                <w:color w:val="auto"/>
                <w:sz w:val="20"/>
                <w:szCs w:val="20"/>
                <w:highlight w:val="none"/>
                <w:shd w:val="clear" w:color="auto" w:fill="auto"/>
              </w:rPr>
              <w:t>6、送达阶段责任：在规定期限内将行政处罚决定书送达当事人。</w:t>
            </w:r>
          </w:p>
        </w:tc>
        <w:tc>
          <w:tcPr>
            <w:tcW w:w="1929" w:type="dxa"/>
            <w:vMerge w:val="continue"/>
            <w:tcBorders>
              <w:left w:val="single" w:color="000000" w:sz="6" w:space="0"/>
              <w:right w:val="single" w:color="000000" w:sz="12" w:space="0"/>
            </w:tcBorders>
            <w:noWrap w:val="0"/>
            <w:tcMar>
              <w:top w:w="15" w:type="dxa"/>
              <w:left w:w="15" w:type="dxa"/>
              <w:bottom w:w="0" w:type="dxa"/>
              <w:right w:w="15" w:type="dxa"/>
            </w:tcMar>
            <w:vAlign w:val="center"/>
          </w:tcPr>
          <w:p w14:paraId="7FA0E935">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p>
        </w:tc>
        <w:tc>
          <w:tcPr>
            <w:tcW w:w="1272" w:type="dxa"/>
            <w:vMerge w:val="continue"/>
            <w:tcBorders>
              <w:left w:val="single" w:color="000000" w:sz="6" w:space="0"/>
              <w:right w:val="single" w:color="000000" w:sz="12" w:space="0"/>
            </w:tcBorders>
            <w:noWrap w:val="0"/>
            <w:tcMar>
              <w:top w:w="15" w:type="dxa"/>
              <w:left w:w="15" w:type="dxa"/>
              <w:bottom w:w="0" w:type="dxa"/>
              <w:right w:w="15" w:type="dxa"/>
            </w:tcMar>
            <w:vAlign w:val="center"/>
          </w:tcPr>
          <w:p w14:paraId="0296B2D4">
            <w:pPr>
              <w:keepNext w:val="0"/>
              <w:keepLines w:val="0"/>
              <w:pageBreakBefore w:val="0"/>
              <w:widowControl w:val="0"/>
              <w:kinsoku/>
              <w:wordWrap/>
              <w:overflowPunct w:val="0"/>
              <w:topLinePunct w:val="0"/>
              <w:autoSpaceDE/>
              <w:autoSpaceDN/>
              <w:bidi w:val="0"/>
              <w:snapToGrid w:val="0"/>
              <w:spacing w:line="240" w:lineRule="auto"/>
              <w:ind w:left="0" w:firstLine="0" w:firstLineChars="0"/>
              <w:jc w:val="center"/>
              <w:rPr>
                <w:rFonts w:hint="eastAsia" w:ascii="宋体" w:hAnsi="宋体" w:eastAsia="宋体" w:cs="宋体"/>
                <w:color w:val="auto"/>
                <w:kern w:val="0"/>
                <w:sz w:val="20"/>
                <w:szCs w:val="20"/>
                <w:highlight w:val="none"/>
                <w:shd w:val="clear" w:color="auto" w:fill="auto"/>
                <w:lang w:bidi="ar"/>
              </w:rPr>
            </w:pPr>
          </w:p>
        </w:tc>
      </w:tr>
      <w:tr w14:paraId="293AD5B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4" w:hRule="atLeast"/>
        </w:trPr>
        <w:tc>
          <w:tcPr>
            <w:tcW w:w="460" w:type="dxa"/>
            <w:vMerge w:val="continue"/>
            <w:tcBorders>
              <w:left w:val="single" w:color="000000" w:sz="12" w:space="0"/>
              <w:right w:val="single" w:color="000000" w:sz="6" w:space="0"/>
            </w:tcBorders>
            <w:noWrap w:val="0"/>
            <w:vAlign w:val="center"/>
          </w:tcPr>
          <w:p w14:paraId="3DB4BDCE">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p>
        </w:tc>
        <w:tc>
          <w:tcPr>
            <w:tcW w:w="1523" w:type="dxa"/>
            <w:vMerge w:val="continue"/>
            <w:tcBorders>
              <w:left w:val="single" w:color="000000" w:sz="6" w:space="0"/>
              <w:right w:val="single" w:color="000000" w:sz="6" w:space="0"/>
            </w:tcBorders>
            <w:noWrap w:val="0"/>
            <w:vAlign w:val="center"/>
          </w:tcPr>
          <w:p w14:paraId="472BCE2E">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kern w:val="0"/>
                <w:sz w:val="20"/>
                <w:szCs w:val="20"/>
                <w:highlight w:val="none"/>
                <w:shd w:val="clear" w:color="auto" w:fill="auto"/>
                <w:lang w:bidi="ar"/>
              </w:rPr>
            </w:pPr>
          </w:p>
        </w:tc>
        <w:tc>
          <w:tcPr>
            <w:tcW w:w="3927" w:type="dxa"/>
            <w:vMerge w:val="continue"/>
            <w:tcBorders>
              <w:left w:val="single" w:color="000000" w:sz="6" w:space="0"/>
              <w:right w:val="single" w:color="000000" w:sz="6" w:space="0"/>
            </w:tcBorders>
            <w:noWrap w:val="0"/>
            <w:vAlign w:val="center"/>
          </w:tcPr>
          <w:p w14:paraId="2E06CAB1">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kern w:val="0"/>
                <w:sz w:val="20"/>
                <w:szCs w:val="20"/>
                <w:highlight w:val="none"/>
                <w:shd w:val="clear" w:color="auto" w:fill="auto"/>
                <w:lang w:bidi="ar"/>
              </w:rPr>
            </w:pPr>
          </w:p>
        </w:tc>
        <w:tc>
          <w:tcPr>
            <w:tcW w:w="1212" w:type="dxa"/>
            <w:vMerge w:val="continue"/>
            <w:tcBorders>
              <w:left w:val="single" w:color="000000" w:sz="6" w:space="0"/>
              <w:right w:val="single" w:color="000000" w:sz="6" w:space="0"/>
            </w:tcBorders>
            <w:noWrap w:val="0"/>
            <w:vAlign w:val="center"/>
          </w:tcPr>
          <w:p w14:paraId="29477948">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p>
        </w:tc>
        <w:tc>
          <w:tcPr>
            <w:tcW w:w="1025" w:type="dxa"/>
            <w:tcBorders>
              <w:top w:val="single" w:color="000000" w:sz="6" w:space="0"/>
              <w:left w:val="single" w:color="000000" w:sz="6" w:space="0"/>
              <w:bottom w:val="single" w:color="000000" w:sz="6" w:space="0"/>
              <w:right w:val="single" w:color="000000" w:sz="6" w:space="0"/>
            </w:tcBorders>
            <w:noWrap w:val="0"/>
            <w:tcMar>
              <w:top w:w="15" w:type="dxa"/>
              <w:left w:w="15" w:type="dxa"/>
              <w:bottom w:w="0" w:type="dxa"/>
              <w:right w:w="15" w:type="dxa"/>
            </w:tcMar>
            <w:vAlign w:val="center"/>
          </w:tcPr>
          <w:p w14:paraId="20631D94">
            <w:pPr>
              <w:keepNext w:val="0"/>
              <w:keepLines w:val="0"/>
              <w:pageBreakBefore w:val="0"/>
              <w:widowControl w:val="0"/>
              <w:kinsoku/>
              <w:wordWrap/>
              <w:overflowPunct w:val="0"/>
              <w:topLinePunct w:val="0"/>
              <w:autoSpaceDE/>
              <w:autoSpaceDN/>
              <w:bidi w:val="0"/>
              <w:snapToGrid w:val="0"/>
              <w:spacing w:line="240" w:lineRule="auto"/>
              <w:ind w:left="0" w:firstLine="0" w:firstLineChars="0"/>
              <w:jc w:val="center"/>
              <w:rPr>
                <w:rFonts w:hint="eastAsia" w:ascii="宋体" w:hAnsi="宋体" w:eastAsia="宋体" w:cs="宋体"/>
                <w:color w:val="auto"/>
                <w:kern w:val="0"/>
                <w:sz w:val="20"/>
                <w:szCs w:val="20"/>
                <w:highlight w:val="none"/>
                <w:shd w:val="clear" w:color="auto" w:fill="auto"/>
                <w:lang w:bidi="ar"/>
              </w:rPr>
            </w:pPr>
            <w:r>
              <w:rPr>
                <w:rFonts w:hint="eastAsia" w:ascii="宋体" w:hAnsi="宋体" w:eastAsia="宋体" w:cs="宋体"/>
                <w:color w:val="auto"/>
                <w:sz w:val="20"/>
                <w:szCs w:val="20"/>
                <w:highlight w:val="none"/>
                <w:shd w:val="clear" w:color="auto" w:fill="auto"/>
              </w:rPr>
              <w:t>执行</w:t>
            </w:r>
          </w:p>
        </w:tc>
        <w:tc>
          <w:tcPr>
            <w:tcW w:w="4750" w:type="dxa"/>
            <w:tcBorders>
              <w:top w:val="single" w:color="000000" w:sz="6" w:space="0"/>
              <w:left w:val="single" w:color="000000" w:sz="6" w:space="0"/>
              <w:bottom w:val="single" w:color="000000" w:sz="6" w:space="0"/>
              <w:right w:val="single" w:color="000000" w:sz="6" w:space="0"/>
            </w:tcBorders>
            <w:noWrap w:val="0"/>
            <w:tcMar>
              <w:top w:w="15" w:type="dxa"/>
              <w:left w:w="15" w:type="dxa"/>
              <w:bottom w:w="0" w:type="dxa"/>
              <w:right w:w="15" w:type="dxa"/>
            </w:tcMar>
            <w:vAlign w:val="center"/>
          </w:tcPr>
          <w:p w14:paraId="76CDAE1E">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kern w:val="0"/>
                <w:sz w:val="20"/>
                <w:szCs w:val="20"/>
                <w:highlight w:val="none"/>
                <w:shd w:val="clear" w:color="auto" w:fill="auto"/>
                <w:lang w:bidi="ar"/>
              </w:rPr>
            </w:pPr>
            <w:r>
              <w:rPr>
                <w:rFonts w:hint="eastAsia" w:ascii="宋体" w:hAnsi="宋体" w:eastAsia="宋体" w:cs="宋体"/>
                <w:color w:val="auto"/>
                <w:sz w:val="20"/>
                <w:szCs w:val="20"/>
                <w:highlight w:val="none"/>
                <w:shd w:val="clear" w:color="auto" w:fill="auto"/>
              </w:rPr>
              <w:t>7、执行阶段责任：</w:t>
            </w:r>
            <w:r>
              <w:rPr>
                <w:rFonts w:hint="eastAsia" w:ascii="宋体" w:hAnsi="宋体" w:eastAsia="宋体" w:cs="宋体"/>
                <w:color w:val="auto"/>
                <w:kern w:val="0"/>
                <w:sz w:val="20"/>
                <w:szCs w:val="20"/>
                <w:highlight w:val="none"/>
                <w:shd w:val="clear" w:color="auto" w:fill="auto"/>
              </w:rPr>
              <w:t>监督当事人在决定的期限内，履行生效的行政处罚决定。当事人在法定期限内不申请行政复议或提起行政诉讼，又不履行的，可依法采取强制执行或者申请人民法院强制执行。</w:t>
            </w:r>
          </w:p>
        </w:tc>
        <w:tc>
          <w:tcPr>
            <w:tcW w:w="1929" w:type="dxa"/>
            <w:vMerge w:val="continue"/>
            <w:tcBorders>
              <w:left w:val="single" w:color="000000" w:sz="6" w:space="0"/>
              <w:right w:val="single" w:color="000000" w:sz="12" w:space="0"/>
            </w:tcBorders>
            <w:noWrap w:val="0"/>
            <w:tcMar>
              <w:top w:w="15" w:type="dxa"/>
              <w:left w:w="15" w:type="dxa"/>
              <w:bottom w:w="0" w:type="dxa"/>
              <w:right w:w="15" w:type="dxa"/>
            </w:tcMar>
            <w:vAlign w:val="center"/>
          </w:tcPr>
          <w:p w14:paraId="2EE4E2DE">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p>
        </w:tc>
        <w:tc>
          <w:tcPr>
            <w:tcW w:w="1272" w:type="dxa"/>
            <w:vMerge w:val="continue"/>
            <w:tcBorders>
              <w:left w:val="single" w:color="000000" w:sz="6" w:space="0"/>
              <w:right w:val="single" w:color="000000" w:sz="12" w:space="0"/>
            </w:tcBorders>
            <w:noWrap w:val="0"/>
            <w:tcMar>
              <w:top w:w="15" w:type="dxa"/>
              <w:left w:w="15" w:type="dxa"/>
              <w:bottom w:w="0" w:type="dxa"/>
              <w:right w:w="15" w:type="dxa"/>
            </w:tcMar>
            <w:vAlign w:val="center"/>
          </w:tcPr>
          <w:p w14:paraId="7830161F">
            <w:pPr>
              <w:keepNext w:val="0"/>
              <w:keepLines w:val="0"/>
              <w:pageBreakBefore w:val="0"/>
              <w:widowControl w:val="0"/>
              <w:kinsoku/>
              <w:wordWrap/>
              <w:overflowPunct w:val="0"/>
              <w:topLinePunct w:val="0"/>
              <w:autoSpaceDE/>
              <w:autoSpaceDN/>
              <w:bidi w:val="0"/>
              <w:snapToGrid w:val="0"/>
              <w:spacing w:line="240" w:lineRule="auto"/>
              <w:ind w:left="0" w:firstLine="0" w:firstLineChars="0"/>
              <w:jc w:val="center"/>
              <w:rPr>
                <w:rFonts w:hint="eastAsia" w:ascii="宋体" w:hAnsi="宋体" w:eastAsia="宋体" w:cs="宋体"/>
                <w:color w:val="auto"/>
                <w:kern w:val="0"/>
                <w:sz w:val="20"/>
                <w:szCs w:val="20"/>
                <w:highlight w:val="none"/>
                <w:shd w:val="clear" w:color="auto" w:fill="auto"/>
                <w:lang w:bidi="ar"/>
              </w:rPr>
            </w:pPr>
          </w:p>
        </w:tc>
      </w:tr>
      <w:tr w14:paraId="40EB155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63" w:hRule="atLeast"/>
        </w:trPr>
        <w:tc>
          <w:tcPr>
            <w:tcW w:w="460" w:type="dxa"/>
            <w:vMerge w:val="continue"/>
            <w:tcBorders>
              <w:left w:val="single" w:color="000000" w:sz="12" w:space="0"/>
              <w:right w:val="single" w:color="000000" w:sz="6" w:space="0"/>
            </w:tcBorders>
            <w:noWrap w:val="0"/>
            <w:vAlign w:val="center"/>
          </w:tcPr>
          <w:p w14:paraId="29A4406C">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p>
        </w:tc>
        <w:tc>
          <w:tcPr>
            <w:tcW w:w="1523" w:type="dxa"/>
            <w:vMerge w:val="continue"/>
            <w:tcBorders>
              <w:left w:val="single" w:color="000000" w:sz="6" w:space="0"/>
              <w:right w:val="single" w:color="000000" w:sz="6" w:space="0"/>
            </w:tcBorders>
            <w:noWrap w:val="0"/>
            <w:vAlign w:val="center"/>
          </w:tcPr>
          <w:p w14:paraId="26161C32">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kern w:val="0"/>
                <w:sz w:val="20"/>
                <w:szCs w:val="20"/>
                <w:highlight w:val="none"/>
                <w:shd w:val="clear" w:color="auto" w:fill="auto"/>
                <w:lang w:bidi="ar"/>
              </w:rPr>
            </w:pPr>
          </w:p>
        </w:tc>
        <w:tc>
          <w:tcPr>
            <w:tcW w:w="3927" w:type="dxa"/>
            <w:vMerge w:val="continue"/>
            <w:tcBorders>
              <w:left w:val="single" w:color="000000" w:sz="6" w:space="0"/>
              <w:right w:val="single" w:color="000000" w:sz="6" w:space="0"/>
            </w:tcBorders>
            <w:noWrap w:val="0"/>
            <w:vAlign w:val="center"/>
          </w:tcPr>
          <w:p w14:paraId="6605E574">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kern w:val="0"/>
                <w:sz w:val="20"/>
                <w:szCs w:val="20"/>
                <w:highlight w:val="none"/>
                <w:shd w:val="clear" w:color="auto" w:fill="auto"/>
                <w:lang w:bidi="ar"/>
              </w:rPr>
            </w:pPr>
          </w:p>
        </w:tc>
        <w:tc>
          <w:tcPr>
            <w:tcW w:w="1212" w:type="dxa"/>
            <w:vMerge w:val="continue"/>
            <w:tcBorders>
              <w:left w:val="single" w:color="000000" w:sz="6" w:space="0"/>
              <w:right w:val="single" w:color="000000" w:sz="6" w:space="0"/>
            </w:tcBorders>
            <w:noWrap w:val="0"/>
            <w:vAlign w:val="center"/>
          </w:tcPr>
          <w:p w14:paraId="2DD2AEDA">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p>
        </w:tc>
        <w:tc>
          <w:tcPr>
            <w:tcW w:w="1025" w:type="dxa"/>
            <w:tcBorders>
              <w:top w:val="single" w:color="000000" w:sz="6" w:space="0"/>
              <w:left w:val="single" w:color="000000" w:sz="6" w:space="0"/>
              <w:bottom w:val="single" w:color="000000" w:sz="6" w:space="0"/>
              <w:right w:val="single" w:color="000000" w:sz="6" w:space="0"/>
            </w:tcBorders>
            <w:noWrap w:val="0"/>
            <w:tcMar>
              <w:top w:w="15" w:type="dxa"/>
              <w:left w:w="15" w:type="dxa"/>
              <w:bottom w:w="0" w:type="dxa"/>
              <w:right w:w="15" w:type="dxa"/>
            </w:tcMar>
            <w:vAlign w:val="center"/>
          </w:tcPr>
          <w:p w14:paraId="2F2D3E86">
            <w:pPr>
              <w:keepNext w:val="0"/>
              <w:keepLines w:val="0"/>
              <w:pageBreakBefore w:val="0"/>
              <w:widowControl w:val="0"/>
              <w:kinsoku/>
              <w:wordWrap/>
              <w:overflowPunct w:val="0"/>
              <w:topLinePunct w:val="0"/>
              <w:autoSpaceDE/>
              <w:autoSpaceDN/>
              <w:bidi w:val="0"/>
              <w:snapToGrid w:val="0"/>
              <w:spacing w:line="240" w:lineRule="auto"/>
              <w:ind w:left="0" w:firstLine="0" w:firstLineChars="0"/>
              <w:jc w:val="center"/>
              <w:rPr>
                <w:rFonts w:hint="eastAsia" w:ascii="宋体" w:hAnsi="宋体" w:eastAsia="宋体" w:cs="宋体"/>
                <w:color w:val="auto"/>
                <w:kern w:val="0"/>
                <w:sz w:val="20"/>
                <w:szCs w:val="20"/>
                <w:highlight w:val="none"/>
                <w:shd w:val="clear" w:color="auto" w:fill="auto"/>
                <w:lang w:bidi="ar"/>
              </w:rPr>
            </w:pPr>
          </w:p>
        </w:tc>
        <w:tc>
          <w:tcPr>
            <w:tcW w:w="4750" w:type="dxa"/>
            <w:tcBorders>
              <w:top w:val="single" w:color="000000" w:sz="6" w:space="0"/>
              <w:left w:val="single" w:color="000000" w:sz="6" w:space="0"/>
              <w:bottom w:val="single" w:color="000000" w:sz="6" w:space="0"/>
              <w:right w:val="single" w:color="000000" w:sz="6" w:space="0"/>
            </w:tcBorders>
            <w:noWrap w:val="0"/>
            <w:tcMar>
              <w:top w:w="15" w:type="dxa"/>
              <w:left w:w="15" w:type="dxa"/>
              <w:bottom w:w="0" w:type="dxa"/>
              <w:right w:w="15" w:type="dxa"/>
            </w:tcMar>
            <w:vAlign w:val="center"/>
          </w:tcPr>
          <w:p w14:paraId="15A6014E">
            <w:pPr>
              <w:keepNext w:val="0"/>
              <w:keepLines w:val="0"/>
              <w:pageBreakBefore w:val="0"/>
              <w:widowControl w:val="0"/>
              <w:kinsoku/>
              <w:wordWrap/>
              <w:overflowPunct w:val="0"/>
              <w:topLinePunct w:val="0"/>
              <w:autoSpaceDE/>
              <w:autoSpaceDN/>
              <w:bidi w:val="0"/>
              <w:snapToGrid w:val="0"/>
              <w:spacing w:line="240" w:lineRule="auto"/>
              <w:ind w:left="0" w:firstLine="0" w:firstLineChars="0"/>
              <w:rPr>
                <w:rFonts w:hint="eastAsia" w:ascii="宋体" w:hAnsi="宋体" w:eastAsia="宋体" w:cs="宋体"/>
                <w:color w:val="auto"/>
                <w:kern w:val="0"/>
                <w:sz w:val="20"/>
                <w:szCs w:val="20"/>
                <w:highlight w:val="none"/>
                <w:shd w:val="clear" w:color="auto" w:fill="auto"/>
                <w:lang w:bidi="ar"/>
              </w:rPr>
            </w:pPr>
            <w:r>
              <w:rPr>
                <w:rFonts w:hint="eastAsia" w:ascii="宋体" w:hAnsi="宋体" w:eastAsia="宋体" w:cs="宋体"/>
                <w:color w:val="auto"/>
                <w:sz w:val="20"/>
                <w:szCs w:val="20"/>
                <w:highlight w:val="none"/>
                <w:shd w:val="clear" w:color="auto" w:fill="auto"/>
              </w:rPr>
              <w:t>8、其他法律法规规章文件规定履行的责任。</w:t>
            </w:r>
          </w:p>
        </w:tc>
        <w:tc>
          <w:tcPr>
            <w:tcW w:w="3201" w:type="dxa"/>
            <w:gridSpan w:val="2"/>
            <w:tcBorders>
              <w:left w:val="single" w:color="000000" w:sz="6" w:space="0"/>
              <w:right w:val="single" w:color="000000" w:sz="12" w:space="0"/>
            </w:tcBorders>
            <w:noWrap w:val="0"/>
            <w:tcMar>
              <w:top w:w="15" w:type="dxa"/>
              <w:left w:w="15" w:type="dxa"/>
              <w:bottom w:w="0" w:type="dxa"/>
              <w:right w:w="15" w:type="dxa"/>
            </w:tcMar>
            <w:vAlign w:val="center"/>
          </w:tcPr>
          <w:p w14:paraId="7BB1E8ED">
            <w:pPr>
              <w:keepNext w:val="0"/>
              <w:keepLines w:val="0"/>
              <w:pageBreakBefore w:val="0"/>
              <w:widowControl w:val="0"/>
              <w:kinsoku/>
              <w:wordWrap/>
              <w:overflowPunct w:val="0"/>
              <w:topLinePunct w:val="0"/>
              <w:autoSpaceDE/>
              <w:autoSpaceDN/>
              <w:bidi w:val="0"/>
              <w:snapToGrid w:val="0"/>
              <w:spacing w:line="240" w:lineRule="auto"/>
              <w:ind w:left="0" w:firstLine="0" w:firstLineChars="0"/>
              <w:rPr>
                <w:rFonts w:hint="eastAsia" w:ascii="宋体" w:hAnsi="宋体" w:eastAsia="宋体" w:cs="宋体"/>
                <w:color w:val="auto"/>
                <w:sz w:val="20"/>
                <w:szCs w:val="20"/>
                <w:highlight w:val="none"/>
                <w:shd w:val="clear" w:color="auto" w:fill="auto"/>
              </w:rPr>
            </w:pPr>
          </w:p>
        </w:tc>
      </w:tr>
      <w:tr w14:paraId="08C215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63" w:hRule="atLeast"/>
        </w:trPr>
        <w:tc>
          <w:tcPr>
            <w:tcW w:w="460" w:type="dxa"/>
            <w:vMerge w:val="continue"/>
            <w:tcBorders>
              <w:left w:val="single" w:color="000000" w:sz="12" w:space="0"/>
              <w:right w:val="single" w:color="000000" w:sz="6" w:space="0"/>
            </w:tcBorders>
            <w:noWrap w:val="0"/>
            <w:vAlign w:val="center"/>
          </w:tcPr>
          <w:p w14:paraId="34177E71">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p>
        </w:tc>
        <w:tc>
          <w:tcPr>
            <w:tcW w:w="15638" w:type="dxa"/>
            <w:gridSpan w:val="7"/>
            <w:tcBorders>
              <w:left w:val="single" w:color="000000" w:sz="6" w:space="0"/>
              <w:right w:val="single" w:color="000000" w:sz="12" w:space="0"/>
            </w:tcBorders>
            <w:noWrap w:val="0"/>
            <w:vAlign w:val="center"/>
          </w:tcPr>
          <w:p w14:paraId="7DF89767">
            <w:pPr>
              <w:keepNext w:val="0"/>
              <w:keepLines w:val="0"/>
              <w:pageBreakBefore w:val="0"/>
              <w:widowControl w:val="0"/>
              <w:kinsoku/>
              <w:wordWrap/>
              <w:overflowPunct w:val="0"/>
              <w:topLinePunct w:val="0"/>
              <w:autoSpaceDE/>
              <w:autoSpaceDN/>
              <w:bidi w:val="0"/>
              <w:snapToGrid w:val="0"/>
              <w:spacing w:line="240" w:lineRule="auto"/>
              <w:ind w:left="0" w:firstLine="0" w:firstLineChars="0"/>
              <w:rPr>
                <w:rFonts w:hint="default" w:ascii="宋体" w:hAnsi="宋体" w:eastAsia="宋体" w:cs="宋体"/>
                <w:color w:val="auto"/>
                <w:sz w:val="20"/>
                <w:szCs w:val="20"/>
                <w:highlight w:val="none"/>
                <w:shd w:val="clear" w:color="auto" w:fill="auto"/>
                <w:lang w:val="en-US"/>
              </w:rPr>
            </w:pPr>
            <w:r>
              <w:rPr>
                <w:rFonts w:hint="eastAsia" w:ascii="宋体" w:hAnsi="宋体" w:eastAsia="宋体" w:cs="宋体"/>
                <w:color w:val="auto"/>
                <w:sz w:val="20"/>
                <w:szCs w:val="20"/>
                <w:highlight w:val="none"/>
                <w:shd w:val="clear" w:color="auto" w:fill="auto"/>
                <w:lang w:val="en-US" w:eastAsia="zh-CN"/>
              </w:rPr>
              <w:t>调整情况：收回</w:t>
            </w:r>
          </w:p>
        </w:tc>
      </w:tr>
      <w:tr w14:paraId="65CBF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63" w:hRule="atLeast"/>
        </w:trPr>
        <w:tc>
          <w:tcPr>
            <w:tcW w:w="460" w:type="dxa"/>
            <w:vMerge w:val="continue"/>
            <w:tcBorders>
              <w:left w:val="single" w:color="000000" w:sz="12" w:space="0"/>
              <w:right w:val="single" w:color="000000" w:sz="6" w:space="0"/>
            </w:tcBorders>
            <w:noWrap w:val="0"/>
            <w:vAlign w:val="center"/>
          </w:tcPr>
          <w:p w14:paraId="41A59193">
            <w:pPr>
              <w:keepNext w:val="0"/>
              <w:keepLines w:val="0"/>
              <w:pageBreakBefore w:val="0"/>
              <w:widowControl w:val="0"/>
              <w:kinsoku/>
              <w:wordWrap/>
              <w:overflowPunct w:val="0"/>
              <w:topLinePunct w:val="0"/>
              <w:autoSpaceDE/>
              <w:autoSpaceDN/>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p>
        </w:tc>
        <w:tc>
          <w:tcPr>
            <w:tcW w:w="15638" w:type="dxa"/>
            <w:gridSpan w:val="7"/>
            <w:tcBorders>
              <w:left w:val="single" w:color="000000" w:sz="6" w:space="0"/>
              <w:right w:val="single" w:color="000000" w:sz="12" w:space="0"/>
            </w:tcBorders>
            <w:noWrap w:val="0"/>
            <w:vAlign w:val="center"/>
          </w:tcPr>
          <w:p w14:paraId="7CDF1E1D">
            <w:pPr>
              <w:spacing w:before="143" w:line="219" w:lineRule="auto"/>
              <w:ind w:left="0" w:leftChars="0" w:firstLine="0" w:firstLineChars="0"/>
              <w:rPr>
                <w:rFonts w:hint="eastAsia" w:ascii="宋体" w:hAnsi="宋体" w:eastAsia="宋体" w:cs="宋体"/>
                <w:color w:val="auto"/>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lang w:eastAsia="zh-CN"/>
              </w:rPr>
              <w:t>调整原因：河南省人民政府关于南阳市开展乡镇(街道)综合行政执法工作的批复豫政文〔2023〕66号</w:t>
            </w:r>
          </w:p>
          <w:p w14:paraId="355EF684">
            <w:pPr>
              <w:keepNext w:val="0"/>
              <w:keepLines w:val="0"/>
              <w:pageBreakBefore w:val="0"/>
              <w:widowControl w:val="0"/>
              <w:kinsoku/>
              <w:wordWrap/>
              <w:overflowPunct w:val="0"/>
              <w:topLinePunct w:val="0"/>
              <w:autoSpaceDE/>
              <w:autoSpaceDN/>
              <w:bidi w:val="0"/>
              <w:snapToGrid w:val="0"/>
              <w:spacing w:line="240" w:lineRule="auto"/>
              <w:ind w:left="0" w:firstLine="0" w:firstLineChars="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lang w:eastAsia="zh-CN"/>
              </w:rPr>
              <w:t>根据《南阳市人民政府关于优化调整赋予乡镇（街道）行政处罚权的通知(宛政[2025]11号)文件要求</w:t>
            </w:r>
          </w:p>
        </w:tc>
      </w:tr>
    </w:tbl>
    <w:tbl>
      <w:tblPr>
        <w:tblStyle w:val="3"/>
        <w:tblpPr w:leftFromText="180" w:rightFromText="180" w:vertAnchor="text" w:horzAnchor="page" w:tblpX="603" w:tblpY="-100"/>
        <w:tblOverlap w:val="never"/>
        <w:tblW w:w="15450" w:type="dxa"/>
        <w:tblInd w:w="0" w:type="dxa"/>
        <w:tblLayout w:type="fixed"/>
        <w:tblCellMar>
          <w:top w:w="0" w:type="dxa"/>
          <w:left w:w="0" w:type="dxa"/>
          <w:bottom w:w="0" w:type="dxa"/>
          <w:right w:w="0" w:type="dxa"/>
        </w:tblCellMar>
      </w:tblPr>
      <w:tblGrid>
        <w:gridCol w:w="746"/>
        <w:gridCol w:w="1261"/>
        <w:gridCol w:w="3275"/>
        <w:gridCol w:w="709"/>
        <w:gridCol w:w="1134"/>
        <w:gridCol w:w="5033"/>
        <w:gridCol w:w="2036"/>
        <w:gridCol w:w="1256"/>
      </w:tblGrid>
      <w:tr w14:paraId="02B14914">
        <w:tblPrEx>
          <w:tblCellMar>
            <w:top w:w="0" w:type="dxa"/>
            <w:left w:w="0" w:type="dxa"/>
            <w:bottom w:w="0" w:type="dxa"/>
            <w:right w:w="0" w:type="dxa"/>
          </w:tblCellMar>
        </w:tblPrEx>
        <w:trPr>
          <w:cantSplit/>
          <w:trHeight w:val="635" w:hRule="atLeast"/>
        </w:trPr>
        <w:tc>
          <w:tcPr>
            <w:tcW w:w="7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10FE5A">
            <w:pPr>
              <w:widowControl/>
              <w:spacing w:line="240" w:lineRule="auto"/>
              <w:ind w:firstLine="0" w:firstLineChars="0"/>
              <w:jc w:val="center"/>
              <w:textAlignment w:val="center"/>
              <w:rPr>
                <w:rFonts w:hint="eastAsia" w:ascii="宋体" w:hAnsi="宋体" w:eastAsia="宋体" w:cs="宋体"/>
                <w:color w:val="auto"/>
                <w:sz w:val="20"/>
                <w:szCs w:val="20"/>
                <w:shd w:val="clear" w:color="auto" w:fill="auto"/>
              </w:rPr>
            </w:pPr>
            <w:r>
              <w:rPr>
                <w:rFonts w:hint="eastAsia"/>
                <w:color w:val="auto"/>
                <w:lang w:val="en-US" w:eastAsia="zh-CN"/>
              </w:rPr>
              <w:t xml:space="preserve"> </w:t>
            </w:r>
            <w:r>
              <w:rPr>
                <w:rFonts w:hint="eastAsia" w:ascii="宋体" w:hAnsi="宋体" w:eastAsia="宋体" w:cs="宋体"/>
                <w:color w:val="auto"/>
                <w:kern w:val="0"/>
                <w:sz w:val="20"/>
                <w:szCs w:val="20"/>
                <w:shd w:val="clear" w:color="auto" w:fill="auto"/>
              </w:rPr>
              <w:t>序号</w:t>
            </w:r>
          </w:p>
        </w:tc>
        <w:tc>
          <w:tcPr>
            <w:tcW w:w="12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7D96BC">
            <w:pPr>
              <w:widowControl/>
              <w:spacing w:line="240" w:lineRule="auto"/>
              <w:ind w:firstLine="0" w:firstLineChars="0"/>
              <w:jc w:val="center"/>
              <w:textAlignment w:val="center"/>
              <w:rPr>
                <w:rFonts w:hint="eastAsia" w:ascii="宋体" w:hAnsi="宋体" w:eastAsia="宋体" w:cs="宋体"/>
                <w:color w:val="auto"/>
                <w:sz w:val="20"/>
                <w:szCs w:val="20"/>
                <w:shd w:val="clear" w:color="auto" w:fill="auto"/>
              </w:rPr>
            </w:pPr>
            <w:r>
              <w:rPr>
                <w:rFonts w:hint="eastAsia" w:ascii="宋体" w:hAnsi="宋体" w:eastAsia="宋体" w:cs="宋体"/>
                <w:color w:val="auto"/>
                <w:kern w:val="0"/>
                <w:sz w:val="20"/>
                <w:szCs w:val="20"/>
                <w:shd w:val="clear" w:color="auto" w:fill="auto"/>
              </w:rPr>
              <w:t>项目名称</w:t>
            </w:r>
          </w:p>
        </w:tc>
        <w:tc>
          <w:tcPr>
            <w:tcW w:w="32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2EECCC">
            <w:pPr>
              <w:widowControl/>
              <w:spacing w:line="240" w:lineRule="auto"/>
              <w:ind w:firstLine="0" w:firstLineChars="0"/>
              <w:jc w:val="center"/>
              <w:textAlignment w:val="center"/>
              <w:rPr>
                <w:rFonts w:hint="eastAsia" w:ascii="宋体" w:hAnsi="宋体" w:eastAsia="宋体" w:cs="宋体"/>
                <w:color w:val="auto"/>
                <w:sz w:val="20"/>
                <w:szCs w:val="20"/>
                <w:shd w:val="clear" w:color="auto" w:fill="auto"/>
              </w:rPr>
            </w:pPr>
            <w:r>
              <w:rPr>
                <w:rFonts w:hint="eastAsia" w:ascii="宋体" w:hAnsi="宋体" w:eastAsia="宋体" w:cs="宋体"/>
                <w:color w:val="auto"/>
                <w:kern w:val="0"/>
                <w:sz w:val="20"/>
                <w:szCs w:val="20"/>
                <w:shd w:val="clear" w:color="auto" w:fill="auto"/>
              </w:rPr>
              <w:t>实施依据</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45D16B">
            <w:pPr>
              <w:widowControl/>
              <w:spacing w:line="240" w:lineRule="auto"/>
              <w:ind w:firstLine="0" w:firstLineChars="0"/>
              <w:jc w:val="center"/>
              <w:textAlignment w:val="center"/>
              <w:rPr>
                <w:rFonts w:hint="eastAsia" w:ascii="宋体" w:hAnsi="宋体" w:eastAsia="宋体" w:cs="宋体"/>
                <w:color w:val="auto"/>
                <w:kern w:val="0"/>
                <w:sz w:val="20"/>
                <w:szCs w:val="20"/>
                <w:shd w:val="clear" w:color="auto" w:fill="auto"/>
              </w:rPr>
            </w:pPr>
            <w:r>
              <w:rPr>
                <w:rFonts w:hint="eastAsia" w:ascii="宋体" w:hAnsi="宋体" w:eastAsia="宋体" w:cs="宋体"/>
                <w:color w:val="auto"/>
                <w:kern w:val="0"/>
                <w:sz w:val="20"/>
                <w:szCs w:val="20"/>
                <w:shd w:val="clear" w:color="auto" w:fill="auto"/>
              </w:rPr>
              <w:t>职权</w:t>
            </w:r>
          </w:p>
          <w:p w14:paraId="53DB8F95">
            <w:pPr>
              <w:widowControl/>
              <w:spacing w:line="240" w:lineRule="auto"/>
              <w:ind w:firstLine="0" w:firstLineChars="0"/>
              <w:jc w:val="center"/>
              <w:textAlignment w:val="center"/>
              <w:rPr>
                <w:rFonts w:hint="eastAsia" w:ascii="宋体" w:hAnsi="宋体" w:eastAsia="宋体" w:cs="宋体"/>
                <w:color w:val="auto"/>
                <w:sz w:val="20"/>
                <w:szCs w:val="20"/>
                <w:shd w:val="clear" w:color="auto" w:fill="auto"/>
              </w:rPr>
            </w:pPr>
            <w:r>
              <w:rPr>
                <w:rFonts w:hint="eastAsia" w:ascii="宋体" w:hAnsi="宋体" w:eastAsia="宋体" w:cs="宋体"/>
                <w:color w:val="auto"/>
                <w:kern w:val="0"/>
                <w:sz w:val="20"/>
                <w:szCs w:val="20"/>
                <w:shd w:val="clear" w:color="auto" w:fill="auto"/>
              </w:rPr>
              <w:t>类别</w:t>
            </w: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1CE792">
            <w:pPr>
              <w:widowControl/>
              <w:spacing w:line="240" w:lineRule="auto"/>
              <w:ind w:firstLine="0" w:firstLineChars="0"/>
              <w:jc w:val="center"/>
              <w:textAlignment w:val="center"/>
              <w:rPr>
                <w:rFonts w:hint="eastAsia" w:ascii="宋体" w:hAnsi="宋体" w:eastAsia="宋体" w:cs="宋体"/>
                <w:color w:val="auto"/>
                <w:sz w:val="20"/>
                <w:szCs w:val="20"/>
                <w:shd w:val="clear" w:color="auto" w:fill="auto"/>
              </w:rPr>
            </w:pPr>
            <w:r>
              <w:rPr>
                <w:rFonts w:hint="eastAsia" w:ascii="宋体" w:hAnsi="宋体" w:eastAsia="宋体" w:cs="宋体"/>
                <w:color w:val="auto"/>
                <w:kern w:val="0"/>
                <w:sz w:val="20"/>
                <w:szCs w:val="20"/>
                <w:shd w:val="clear" w:color="auto" w:fill="auto"/>
              </w:rPr>
              <w:t>办理环节</w:t>
            </w:r>
          </w:p>
        </w:tc>
        <w:tc>
          <w:tcPr>
            <w:tcW w:w="503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5A7AD7E">
            <w:pPr>
              <w:widowControl/>
              <w:spacing w:line="240" w:lineRule="auto"/>
              <w:ind w:firstLine="0" w:firstLineChars="0"/>
              <w:jc w:val="center"/>
              <w:textAlignment w:val="center"/>
              <w:rPr>
                <w:rFonts w:hint="eastAsia" w:ascii="宋体" w:hAnsi="宋体" w:eastAsia="宋体" w:cs="宋体"/>
                <w:color w:val="auto"/>
                <w:sz w:val="20"/>
                <w:szCs w:val="20"/>
                <w:shd w:val="clear" w:color="auto" w:fill="auto"/>
              </w:rPr>
            </w:pPr>
            <w:r>
              <w:rPr>
                <w:rFonts w:hint="eastAsia" w:ascii="宋体" w:hAnsi="宋体" w:eastAsia="宋体" w:cs="宋体"/>
                <w:color w:val="auto"/>
                <w:kern w:val="0"/>
                <w:sz w:val="20"/>
                <w:szCs w:val="20"/>
                <w:shd w:val="clear" w:color="auto" w:fill="auto"/>
              </w:rPr>
              <w:t>责任事项</w:t>
            </w:r>
          </w:p>
        </w:tc>
        <w:tc>
          <w:tcPr>
            <w:tcW w:w="203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835B45F">
            <w:pPr>
              <w:widowControl/>
              <w:spacing w:line="240" w:lineRule="auto"/>
              <w:ind w:firstLine="0" w:firstLineChars="0"/>
              <w:jc w:val="center"/>
              <w:textAlignment w:val="center"/>
              <w:rPr>
                <w:rFonts w:hint="eastAsia" w:ascii="宋体" w:hAnsi="宋体" w:eastAsia="宋体" w:cs="宋体"/>
                <w:color w:val="auto"/>
                <w:kern w:val="0"/>
                <w:sz w:val="20"/>
                <w:szCs w:val="20"/>
                <w:shd w:val="clear" w:color="auto" w:fill="auto"/>
              </w:rPr>
            </w:pPr>
            <w:r>
              <w:rPr>
                <w:rFonts w:hint="eastAsia" w:ascii="宋体" w:hAnsi="宋体" w:eastAsia="宋体" w:cs="宋体"/>
                <w:color w:val="auto"/>
                <w:kern w:val="0"/>
                <w:sz w:val="20"/>
                <w:szCs w:val="20"/>
                <w:shd w:val="clear" w:color="auto" w:fill="auto"/>
              </w:rPr>
              <w:t>追责情形</w:t>
            </w:r>
          </w:p>
        </w:tc>
        <w:tc>
          <w:tcPr>
            <w:tcW w:w="125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2784405">
            <w:pPr>
              <w:widowControl/>
              <w:spacing w:line="240" w:lineRule="auto"/>
              <w:ind w:firstLine="0" w:firstLineChars="0"/>
              <w:jc w:val="center"/>
              <w:textAlignment w:val="center"/>
              <w:rPr>
                <w:rFonts w:hint="eastAsia" w:ascii="宋体" w:hAnsi="宋体" w:eastAsia="宋体" w:cs="宋体"/>
                <w:color w:val="auto"/>
                <w:sz w:val="20"/>
                <w:szCs w:val="20"/>
                <w:shd w:val="clear" w:color="auto" w:fill="auto"/>
              </w:rPr>
            </w:pPr>
            <w:r>
              <w:rPr>
                <w:rFonts w:hint="eastAsia" w:ascii="宋体" w:hAnsi="宋体" w:eastAsia="宋体" w:cs="宋体"/>
                <w:color w:val="auto"/>
                <w:kern w:val="0"/>
                <w:sz w:val="20"/>
                <w:szCs w:val="20"/>
                <w:shd w:val="clear" w:color="auto" w:fill="auto"/>
              </w:rPr>
              <w:t>责任科室</w:t>
            </w:r>
          </w:p>
        </w:tc>
      </w:tr>
      <w:tr w14:paraId="051F0266">
        <w:tblPrEx>
          <w:tblCellMar>
            <w:top w:w="0" w:type="dxa"/>
            <w:left w:w="0" w:type="dxa"/>
            <w:bottom w:w="0" w:type="dxa"/>
            <w:right w:w="0" w:type="dxa"/>
          </w:tblCellMar>
        </w:tblPrEx>
        <w:trPr>
          <w:trHeight w:val="865" w:hRule="atLeast"/>
        </w:trPr>
        <w:tc>
          <w:tcPr>
            <w:tcW w:w="746"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4157AEF">
            <w:pPr>
              <w:keepNext w:val="0"/>
              <w:keepLines w:val="0"/>
              <w:pageBreakBefore w:val="0"/>
              <w:widowControl/>
              <w:kinsoku/>
              <w:wordWrap/>
              <w:overflowPunct/>
              <w:topLinePunct w:val="0"/>
              <w:autoSpaceDE/>
              <w:autoSpaceDN/>
              <w:bidi w:val="0"/>
              <w:adjustRightInd/>
              <w:snapToGrid w:val="0"/>
              <w:spacing w:line="240" w:lineRule="auto"/>
              <w:ind w:left="0" w:leftChars="0" w:firstLine="200" w:firstLineChars="100"/>
              <w:textAlignment w:val="center"/>
              <w:rPr>
                <w:rFonts w:hint="eastAsia" w:ascii="宋体" w:hAnsi="宋体" w:eastAsia="宋体" w:cs="宋体"/>
                <w:color w:val="auto"/>
                <w:sz w:val="20"/>
                <w:szCs w:val="20"/>
                <w:shd w:val="clear" w:color="auto" w:fill="auto"/>
                <w:lang w:eastAsia="zh-CN"/>
              </w:rPr>
            </w:pPr>
            <w:r>
              <w:rPr>
                <w:rFonts w:hint="eastAsia" w:ascii="宋体" w:hAnsi="宋体" w:eastAsia="宋体" w:cs="宋体"/>
                <w:color w:val="auto"/>
                <w:sz w:val="20"/>
                <w:szCs w:val="20"/>
                <w:shd w:val="clear" w:color="auto" w:fill="auto"/>
                <w:lang w:val="en-US" w:eastAsia="zh-CN"/>
              </w:rPr>
              <w:t>16</w:t>
            </w:r>
          </w:p>
          <w:p w14:paraId="67BF3F1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default" w:ascii="宋体" w:hAnsi="宋体" w:eastAsia="宋体" w:cs="宋体"/>
                <w:color w:val="auto"/>
                <w:sz w:val="20"/>
                <w:szCs w:val="20"/>
                <w:shd w:val="clear" w:color="auto" w:fill="auto"/>
                <w:lang w:val="en-US"/>
              </w:rPr>
            </w:pPr>
            <w:r>
              <w:rPr>
                <w:rFonts w:hint="eastAsia" w:ascii="宋体" w:hAnsi="宋体" w:eastAsia="宋体" w:cs="宋体"/>
                <w:color w:val="auto"/>
                <w:sz w:val="20"/>
                <w:szCs w:val="20"/>
                <w:highlight w:val="none"/>
                <w:shd w:val="clear" w:color="auto" w:fill="auto"/>
                <w:lang w:val="en-US" w:eastAsia="zh-CN"/>
              </w:rPr>
              <w:t xml:space="preserve"> </w:t>
            </w:r>
          </w:p>
        </w:tc>
        <w:tc>
          <w:tcPr>
            <w:tcW w:w="126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55F1677">
            <w:pPr>
              <w:spacing w:line="240" w:lineRule="auto"/>
              <w:ind w:firstLine="0" w:firstLineChars="0"/>
              <w:jc w:val="left"/>
              <w:rPr>
                <w:rFonts w:hint="eastAsia" w:ascii="宋体" w:hAnsi="宋体" w:eastAsia="宋体" w:cs="宋体"/>
                <w:color w:val="auto"/>
                <w:sz w:val="20"/>
                <w:szCs w:val="20"/>
                <w:shd w:val="clear" w:color="auto" w:fill="auto"/>
                <w:lang w:eastAsia="zh-CN"/>
              </w:rPr>
            </w:pPr>
            <w:r>
              <w:rPr>
                <w:rFonts w:hint="eastAsia" w:ascii="宋体" w:hAnsi="宋体" w:eastAsia="宋体" w:cs="宋体"/>
                <w:color w:val="auto"/>
                <w:sz w:val="20"/>
                <w:szCs w:val="20"/>
                <w:shd w:val="clear" w:color="auto" w:fill="auto"/>
              </w:rPr>
              <w:t>机动车驾驶员培训</w:t>
            </w:r>
            <w:r>
              <w:rPr>
                <w:rFonts w:hint="eastAsia" w:ascii="宋体" w:hAnsi="宋体" w:eastAsia="宋体" w:cs="宋体"/>
                <w:color w:val="auto"/>
                <w:sz w:val="20"/>
                <w:szCs w:val="20"/>
                <w:shd w:val="clear" w:color="auto" w:fill="auto"/>
                <w:lang w:val="en-US" w:eastAsia="zh-CN"/>
              </w:rPr>
              <w:t>备案</w:t>
            </w:r>
          </w:p>
        </w:tc>
        <w:tc>
          <w:tcPr>
            <w:tcW w:w="3275" w:type="dxa"/>
            <w:vMerge w:val="restart"/>
            <w:tcBorders>
              <w:top w:val="single" w:color="000000" w:sz="4" w:space="0"/>
              <w:left w:val="single" w:color="000000" w:sz="4" w:space="0"/>
              <w:right w:val="nil"/>
            </w:tcBorders>
            <w:tcMar>
              <w:top w:w="15" w:type="dxa"/>
              <w:left w:w="15" w:type="dxa"/>
              <w:right w:w="15" w:type="dxa"/>
            </w:tcMar>
            <w:vAlign w:val="center"/>
          </w:tcPr>
          <w:p w14:paraId="12C00044">
            <w:pPr>
              <w:spacing w:line="240" w:lineRule="auto"/>
              <w:ind w:firstLine="0" w:firstLineChars="0"/>
              <w:jc w:val="left"/>
              <w:rPr>
                <w:rFonts w:hint="eastAsia" w:ascii="宋体" w:hAnsi="宋体" w:eastAsia="宋体" w:cs="宋体"/>
                <w:color w:val="auto"/>
                <w:sz w:val="20"/>
                <w:szCs w:val="20"/>
                <w:shd w:val="clear" w:color="auto" w:fill="auto"/>
                <w:lang w:eastAsia="zh-CN"/>
              </w:rPr>
            </w:pPr>
            <w:r>
              <w:rPr>
                <w:rFonts w:hint="eastAsia" w:ascii="宋体" w:hAnsi="宋体" w:eastAsia="宋体" w:cs="宋体"/>
                <w:color w:val="auto"/>
                <w:sz w:val="20"/>
                <w:szCs w:val="20"/>
                <w:shd w:val="clear" w:color="auto" w:fill="auto"/>
                <w:lang w:eastAsia="zh-CN"/>
              </w:rPr>
              <w:t>《中华人民共和国道路运输条例》（2022年3月29日《国务院关于修改和废止部分行政法规的决定》第四次修订，自2022年5月1日起施行。）第三十九条第二款</w:t>
            </w:r>
          </w:p>
        </w:tc>
        <w:tc>
          <w:tcPr>
            <w:tcW w:w="709"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E960F01">
            <w:pPr>
              <w:spacing w:line="240" w:lineRule="auto"/>
              <w:ind w:firstLine="0" w:firstLineChars="0"/>
              <w:jc w:val="center"/>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其他职权</w:t>
            </w:r>
          </w:p>
        </w:tc>
        <w:tc>
          <w:tcPr>
            <w:tcW w:w="1134" w:type="dxa"/>
            <w:tcBorders>
              <w:top w:val="single" w:color="000000" w:sz="4" w:space="0"/>
              <w:left w:val="single" w:color="000000" w:sz="4" w:space="0"/>
              <w:bottom w:val="single" w:color="auto" w:sz="4" w:space="0"/>
              <w:right w:val="single" w:color="auto" w:sz="4" w:space="0"/>
            </w:tcBorders>
            <w:tcMar>
              <w:top w:w="15" w:type="dxa"/>
              <w:left w:w="15" w:type="dxa"/>
              <w:right w:w="15" w:type="dxa"/>
            </w:tcMar>
            <w:vAlign w:val="center"/>
          </w:tcPr>
          <w:p w14:paraId="125E60C2">
            <w:pPr>
              <w:pStyle w:val="5"/>
              <w:widowControl/>
              <w:spacing w:beforeAutospacing="0" w:afterAutospacing="0" w:line="240" w:lineRule="auto"/>
              <w:ind w:firstLine="0" w:firstLineChars="0"/>
              <w:jc w:val="center"/>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受理</w:t>
            </w:r>
          </w:p>
        </w:tc>
        <w:tc>
          <w:tcPr>
            <w:tcW w:w="503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C852915">
            <w:pPr>
              <w:pStyle w:val="5"/>
              <w:widowControl/>
              <w:snapToGrid/>
              <w:spacing w:beforeAutospacing="0" w:afterAutospacing="0" w:line="240" w:lineRule="auto"/>
              <w:ind w:firstLine="0" w:firstLineChars="0"/>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公示依法应当提交的材料；一次性告知补正材料；依法受理或不予受理（不予受理应当告知理由）。</w:t>
            </w:r>
          </w:p>
        </w:tc>
        <w:tc>
          <w:tcPr>
            <w:tcW w:w="203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4D2FCA6E">
            <w:pPr>
              <w:spacing w:line="240" w:lineRule="auto"/>
              <w:ind w:firstLine="0" w:firstLineChars="0"/>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不履行或不正确履行职责，有下列情形的行政机关及相关工作人员应承担相应的责任:</w:t>
            </w:r>
          </w:p>
          <w:p w14:paraId="209EB1D9">
            <w:pPr>
              <w:spacing w:line="240" w:lineRule="auto"/>
              <w:ind w:firstLine="0" w:firstLineChars="0"/>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1.不依照本法规定的条件、程序和期限实施行政行为的；</w:t>
            </w:r>
          </w:p>
          <w:p w14:paraId="17A99D41">
            <w:pPr>
              <w:spacing w:line="240" w:lineRule="auto"/>
              <w:ind w:firstLine="0" w:firstLineChars="0"/>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2.在工作中玩忽职守、滥用职权、徇私舞弊，构成犯罪的；</w:t>
            </w:r>
          </w:p>
          <w:p w14:paraId="33996C20">
            <w:pPr>
              <w:spacing w:line="240" w:lineRule="auto"/>
              <w:ind w:firstLine="0" w:firstLineChars="0"/>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3.索取、收受他人财物，或者谋取其他利益的；</w:t>
            </w:r>
          </w:p>
          <w:p w14:paraId="2B2FAF40">
            <w:pPr>
              <w:spacing w:line="240" w:lineRule="auto"/>
              <w:ind w:firstLine="0" w:firstLineChars="0"/>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4.其他违反法律法规政策规定的行为。</w:t>
            </w:r>
          </w:p>
        </w:tc>
        <w:tc>
          <w:tcPr>
            <w:tcW w:w="1256"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7B3D31BF">
            <w:pPr>
              <w:spacing w:line="240" w:lineRule="auto"/>
              <w:ind w:firstLine="0" w:firstLineChars="0"/>
              <w:jc w:val="center"/>
              <w:rPr>
                <w:rFonts w:hint="eastAsia" w:ascii="宋体" w:hAnsi="宋体" w:eastAsia="宋体" w:cs="宋体"/>
                <w:color w:val="auto"/>
                <w:sz w:val="20"/>
                <w:szCs w:val="20"/>
                <w:shd w:val="clear" w:color="auto" w:fill="auto"/>
              </w:rPr>
            </w:pPr>
            <w:r>
              <w:rPr>
                <w:rFonts w:hint="eastAsia" w:ascii="宋体" w:hAnsi="宋体" w:eastAsia="宋体" w:cs="宋体"/>
                <w:i w:val="0"/>
                <w:caps w:val="0"/>
                <w:color w:val="auto"/>
                <w:spacing w:val="0"/>
                <w:sz w:val="20"/>
                <w:szCs w:val="20"/>
                <w:highlight w:val="none"/>
                <w:shd w:val="clear" w:color="auto" w:fill="auto"/>
                <w:lang w:val="en-US" w:eastAsia="zh-CN"/>
              </w:rPr>
              <w:t>社旗县交通运输局行政审批服务股</w:t>
            </w:r>
          </w:p>
        </w:tc>
      </w:tr>
      <w:tr w14:paraId="3AFB0ECF">
        <w:tblPrEx>
          <w:tblCellMar>
            <w:top w:w="0" w:type="dxa"/>
            <w:left w:w="0" w:type="dxa"/>
            <w:bottom w:w="0" w:type="dxa"/>
            <w:right w:w="0" w:type="dxa"/>
          </w:tblCellMar>
        </w:tblPrEx>
        <w:trPr>
          <w:trHeight w:val="766" w:hRule="atLeast"/>
        </w:trPr>
        <w:tc>
          <w:tcPr>
            <w:tcW w:w="746" w:type="dxa"/>
            <w:vMerge w:val="continue"/>
            <w:tcBorders>
              <w:left w:val="single" w:color="000000" w:sz="4" w:space="0"/>
              <w:right w:val="single" w:color="000000" w:sz="4" w:space="0"/>
            </w:tcBorders>
            <w:tcMar>
              <w:top w:w="15" w:type="dxa"/>
              <w:left w:w="15" w:type="dxa"/>
              <w:right w:w="15" w:type="dxa"/>
            </w:tcMar>
            <w:vAlign w:val="center"/>
          </w:tcPr>
          <w:p w14:paraId="48B711C5">
            <w:pPr>
              <w:spacing w:line="240" w:lineRule="auto"/>
              <w:ind w:firstLine="0" w:firstLineChars="0"/>
              <w:jc w:val="center"/>
              <w:rPr>
                <w:rFonts w:hint="eastAsia" w:ascii="宋体" w:hAnsi="宋体" w:eastAsia="宋体" w:cs="宋体"/>
                <w:color w:val="auto"/>
                <w:sz w:val="20"/>
                <w:szCs w:val="20"/>
                <w:shd w:val="clear" w:color="auto" w:fill="auto"/>
              </w:rPr>
            </w:pPr>
          </w:p>
        </w:tc>
        <w:tc>
          <w:tcPr>
            <w:tcW w:w="1261" w:type="dxa"/>
            <w:vMerge w:val="continue"/>
            <w:tcBorders>
              <w:left w:val="single" w:color="000000" w:sz="4" w:space="0"/>
              <w:right w:val="single" w:color="000000" w:sz="4" w:space="0"/>
            </w:tcBorders>
            <w:tcMar>
              <w:top w:w="15" w:type="dxa"/>
              <w:left w:w="15" w:type="dxa"/>
              <w:right w:w="15" w:type="dxa"/>
            </w:tcMar>
            <w:vAlign w:val="center"/>
          </w:tcPr>
          <w:p w14:paraId="046F67D4">
            <w:pPr>
              <w:spacing w:line="240" w:lineRule="auto"/>
              <w:ind w:firstLine="0" w:firstLineChars="0"/>
              <w:jc w:val="left"/>
              <w:rPr>
                <w:rFonts w:hint="eastAsia" w:ascii="宋体" w:hAnsi="宋体" w:eastAsia="宋体" w:cs="宋体"/>
                <w:color w:val="auto"/>
                <w:sz w:val="20"/>
                <w:szCs w:val="20"/>
                <w:shd w:val="clear" w:color="auto" w:fill="auto"/>
              </w:rPr>
            </w:pPr>
          </w:p>
        </w:tc>
        <w:tc>
          <w:tcPr>
            <w:tcW w:w="3275" w:type="dxa"/>
            <w:vMerge w:val="continue"/>
            <w:tcBorders>
              <w:left w:val="single" w:color="000000" w:sz="4" w:space="0"/>
              <w:right w:val="nil"/>
            </w:tcBorders>
            <w:tcMar>
              <w:top w:w="15" w:type="dxa"/>
              <w:left w:w="15" w:type="dxa"/>
              <w:right w:w="15" w:type="dxa"/>
            </w:tcMar>
            <w:vAlign w:val="center"/>
          </w:tcPr>
          <w:p w14:paraId="0A1D5525">
            <w:pPr>
              <w:spacing w:line="240" w:lineRule="auto"/>
              <w:ind w:firstLine="0" w:firstLineChars="0"/>
              <w:rPr>
                <w:rFonts w:hint="eastAsia" w:ascii="宋体" w:hAnsi="宋体" w:eastAsia="宋体" w:cs="宋体"/>
                <w:color w:val="auto"/>
                <w:sz w:val="20"/>
                <w:szCs w:val="20"/>
                <w:shd w:val="clear" w:color="auto" w:fill="auto"/>
              </w:rPr>
            </w:pPr>
          </w:p>
        </w:tc>
        <w:tc>
          <w:tcPr>
            <w:tcW w:w="709" w:type="dxa"/>
            <w:vMerge w:val="continue"/>
            <w:tcBorders>
              <w:left w:val="single" w:color="000000" w:sz="4" w:space="0"/>
              <w:right w:val="single" w:color="000000" w:sz="4" w:space="0"/>
            </w:tcBorders>
            <w:tcMar>
              <w:top w:w="15" w:type="dxa"/>
              <w:left w:w="15" w:type="dxa"/>
              <w:right w:w="15" w:type="dxa"/>
            </w:tcMar>
            <w:vAlign w:val="center"/>
          </w:tcPr>
          <w:p w14:paraId="5661B48F">
            <w:pPr>
              <w:spacing w:line="240" w:lineRule="auto"/>
              <w:ind w:firstLine="0" w:firstLineChars="0"/>
              <w:jc w:val="center"/>
              <w:rPr>
                <w:rFonts w:hint="eastAsia" w:ascii="宋体" w:hAnsi="宋体" w:eastAsia="宋体" w:cs="宋体"/>
                <w:color w:val="auto"/>
                <w:sz w:val="20"/>
                <w:szCs w:val="20"/>
                <w:shd w:val="clear" w:color="auto" w:fill="auto"/>
              </w:rPr>
            </w:pPr>
          </w:p>
        </w:tc>
        <w:tc>
          <w:tcPr>
            <w:tcW w:w="1134" w:type="dxa"/>
            <w:tcBorders>
              <w:top w:val="single" w:color="auto" w:sz="4" w:space="0"/>
              <w:left w:val="single" w:color="000000" w:sz="4" w:space="0"/>
              <w:bottom w:val="single" w:color="auto" w:sz="4" w:space="0"/>
              <w:right w:val="single" w:color="auto" w:sz="4" w:space="0"/>
            </w:tcBorders>
            <w:tcMar>
              <w:top w:w="15" w:type="dxa"/>
              <w:left w:w="15" w:type="dxa"/>
              <w:right w:w="15" w:type="dxa"/>
            </w:tcMar>
            <w:vAlign w:val="center"/>
          </w:tcPr>
          <w:p w14:paraId="756BF5D1">
            <w:pPr>
              <w:pStyle w:val="5"/>
              <w:widowControl/>
              <w:spacing w:beforeAutospacing="0" w:afterAutospacing="0" w:line="240" w:lineRule="auto"/>
              <w:ind w:firstLine="0" w:firstLineChars="0"/>
              <w:jc w:val="center"/>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审查</w:t>
            </w:r>
          </w:p>
        </w:tc>
        <w:tc>
          <w:tcPr>
            <w:tcW w:w="503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95AD248">
            <w:pPr>
              <w:pStyle w:val="5"/>
              <w:widowControl/>
              <w:snapToGrid/>
              <w:spacing w:beforeAutospacing="0" w:afterAutospacing="0" w:line="240" w:lineRule="auto"/>
              <w:ind w:firstLine="0" w:firstLineChars="0"/>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材料审核，组织人员现场勘查，提出初审意见。</w:t>
            </w:r>
          </w:p>
        </w:tc>
        <w:tc>
          <w:tcPr>
            <w:tcW w:w="2036" w:type="dxa"/>
            <w:vMerge w:val="continue"/>
            <w:tcBorders>
              <w:left w:val="single" w:color="auto" w:sz="4" w:space="0"/>
              <w:right w:val="single" w:color="auto" w:sz="4" w:space="0"/>
            </w:tcBorders>
            <w:tcMar>
              <w:top w:w="15" w:type="dxa"/>
              <w:left w:w="15" w:type="dxa"/>
              <w:right w:w="15" w:type="dxa"/>
            </w:tcMar>
            <w:vAlign w:val="center"/>
          </w:tcPr>
          <w:p w14:paraId="13E509DB">
            <w:pPr>
              <w:spacing w:line="240" w:lineRule="auto"/>
              <w:ind w:firstLine="0" w:firstLineChars="0"/>
              <w:jc w:val="center"/>
              <w:rPr>
                <w:rFonts w:hint="eastAsia" w:ascii="宋体" w:hAnsi="宋体" w:eastAsia="宋体" w:cs="宋体"/>
                <w:color w:val="auto"/>
                <w:sz w:val="20"/>
                <w:szCs w:val="20"/>
                <w:shd w:val="clear" w:color="auto" w:fill="auto"/>
              </w:rPr>
            </w:pPr>
          </w:p>
        </w:tc>
        <w:tc>
          <w:tcPr>
            <w:tcW w:w="1256" w:type="dxa"/>
            <w:vMerge w:val="continue"/>
            <w:tcBorders>
              <w:left w:val="single" w:color="auto" w:sz="4" w:space="0"/>
              <w:right w:val="single" w:color="auto" w:sz="4" w:space="0"/>
            </w:tcBorders>
            <w:tcMar>
              <w:top w:w="15" w:type="dxa"/>
              <w:left w:w="15" w:type="dxa"/>
              <w:right w:w="15" w:type="dxa"/>
            </w:tcMar>
            <w:vAlign w:val="center"/>
          </w:tcPr>
          <w:p w14:paraId="3D6D4C26">
            <w:pPr>
              <w:spacing w:line="240" w:lineRule="auto"/>
              <w:ind w:firstLine="0" w:firstLineChars="0"/>
              <w:jc w:val="center"/>
              <w:rPr>
                <w:rFonts w:hint="eastAsia" w:ascii="宋体" w:hAnsi="宋体" w:eastAsia="宋体" w:cs="宋体"/>
                <w:color w:val="auto"/>
                <w:sz w:val="20"/>
                <w:szCs w:val="20"/>
                <w:shd w:val="clear" w:color="auto" w:fill="auto"/>
              </w:rPr>
            </w:pPr>
          </w:p>
        </w:tc>
      </w:tr>
      <w:tr w14:paraId="053089ED">
        <w:tblPrEx>
          <w:tblCellMar>
            <w:top w:w="0" w:type="dxa"/>
            <w:left w:w="0" w:type="dxa"/>
            <w:bottom w:w="0" w:type="dxa"/>
            <w:right w:w="0" w:type="dxa"/>
          </w:tblCellMar>
        </w:tblPrEx>
        <w:trPr>
          <w:trHeight w:val="638" w:hRule="atLeast"/>
        </w:trPr>
        <w:tc>
          <w:tcPr>
            <w:tcW w:w="746" w:type="dxa"/>
            <w:vMerge w:val="continue"/>
            <w:tcBorders>
              <w:left w:val="single" w:color="000000" w:sz="4" w:space="0"/>
              <w:right w:val="single" w:color="000000" w:sz="4" w:space="0"/>
            </w:tcBorders>
            <w:tcMar>
              <w:top w:w="15" w:type="dxa"/>
              <w:left w:w="15" w:type="dxa"/>
              <w:right w:w="15" w:type="dxa"/>
            </w:tcMar>
            <w:vAlign w:val="center"/>
          </w:tcPr>
          <w:p w14:paraId="6E0DB806">
            <w:pPr>
              <w:spacing w:line="240" w:lineRule="auto"/>
              <w:ind w:firstLine="0" w:firstLineChars="0"/>
              <w:jc w:val="center"/>
              <w:rPr>
                <w:rFonts w:hint="eastAsia" w:ascii="宋体" w:hAnsi="宋体" w:eastAsia="宋体" w:cs="宋体"/>
                <w:color w:val="auto"/>
                <w:sz w:val="20"/>
                <w:szCs w:val="20"/>
                <w:shd w:val="clear" w:color="auto" w:fill="auto"/>
              </w:rPr>
            </w:pPr>
          </w:p>
        </w:tc>
        <w:tc>
          <w:tcPr>
            <w:tcW w:w="1261" w:type="dxa"/>
            <w:vMerge w:val="continue"/>
            <w:tcBorders>
              <w:left w:val="single" w:color="000000" w:sz="4" w:space="0"/>
              <w:right w:val="single" w:color="000000" w:sz="4" w:space="0"/>
            </w:tcBorders>
            <w:tcMar>
              <w:top w:w="15" w:type="dxa"/>
              <w:left w:w="15" w:type="dxa"/>
              <w:right w:w="15" w:type="dxa"/>
            </w:tcMar>
            <w:vAlign w:val="center"/>
          </w:tcPr>
          <w:p w14:paraId="2938338E">
            <w:pPr>
              <w:spacing w:line="240" w:lineRule="auto"/>
              <w:ind w:firstLine="0" w:firstLineChars="0"/>
              <w:jc w:val="left"/>
              <w:rPr>
                <w:rFonts w:hint="eastAsia" w:ascii="宋体" w:hAnsi="宋体" w:eastAsia="宋体" w:cs="宋体"/>
                <w:color w:val="auto"/>
                <w:sz w:val="20"/>
                <w:szCs w:val="20"/>
                <w:shd w:val="clear" w:color="auto" w:fill="auto"/>
              </w:rPr>
            </w:pPr>
          </w:p>
        </w:tc>
        <w:tc>
          <w:tcPr>
            <w:tcW w:w="3275" w:type="dxa"/>
            <w:vMerge w:val="continue"/>
            <w:tcBorders>
              <w:left w:val="single" w:color="000000" w:sz="4" w:space="0"/>
              <w:right w:val="nil"/>
            </w:tcBorders>
            <w:tcMar>
              <w:top w:w="15" w:type="dxa"/>
              <w:left w:w="15" w:type="dxa"/>
              <w:right w:w="15" w:type="dxa"/>
            </w:tcMar>
            <w:vAlign w:val="center"/>
          </w:tcPr>
          <w:p w14:paraId="6702F960">
            <w:pPr>
              <w:spacing w:line="240" w:lineRule="auto"/>
              <w:ind w:firstLine="0" w:firstLineChars="0"/>
              <w:rPr>
                <w:rFonts w:hint="eastAsia" w:ascii="宋体" w:hAnsi="宋体" w:eastAsia="宋体" w:cs="宋体"/>
                <w:color w:val="auto"/>
                <w:sz w:val="20"/>
                <w:szCs w:val="20"/>
                <w:shd w:val="clear" w:color="auto" w:fill="auto"/>
              </w:rPr>
            </w:pPr>
          </w:p>
        </w:tc>
        <w:tc>
          <w:tcPr>
            <w:tcW w:w="709" w:type="dxa"/>
            <w:vMerge w:val="continue"/>
            <w:tcBorders>
              <w:left w:val="single" w:color="000000" w:sz="4" w:space="0"/>
              <w:right w:val="single" w:color="000000" w:sz="4" w:space="0"/>
            </w:tcBorders>
            <w:tcMar>
              <w:top w:w="15" w:type="dxa"/>
              <w:left w:w="15" w:type="dxa"/>
              <w:right w:w="15" w:type="dxa"/>
            </w:tcMar>
            <w:vAlign w:val="center"/>
          </w:tcPr>
          <w:p w14:paraId="79C7A84A">
            <w:pPr>
              <w:spacing w:line="240" w:lineRule="auto"/>
              <w:ind w:firstLine="0" w:firstLineChars="0"/>
              <w:jc w:val="center"/>
              <w:rPr>
                <w:rFonts w:hint="eastAsia" w:ascii="宋体" w:hAnsi="宋体" w:eastAsia="宋体" w:cs="宋体"/>
                <w:color w:val="auto"/>
                <w:sz w:val="20"/>
                <w:szCs w:val="20"/>
                <w:shd w:val="clear" w:color="auto" w:fill="auto"/>
              </w:rPr>
            </w:pPr>
          </w:p>
        </w:tc>
        <w:tc>
          <w:tcPr>
            <w:tcW w:w="1134" w:type="dxa"/>
            <w:tcBorders>
              <w:top w:val="single" w:color="auto" w:sz="4" w:space="0"/>
              <w:left w:val="single" w:color="000000" w:sz="4" w:space="0"/>
              <w:bottom w:val="single" w:color="auto" w:sz="4" w:space="0"/>
              <w:right w:val="single" w:color="auto" w:sz="4" w:space="0"/>
            </w:tcBorders>
            <w:tcMar>
              <w:top w:w="15" w:type="dxa"/>
              <w:left w:w="15" w:type="dxa"/>
              <w:right w:w="15" w:type="dxa"/>
            </w:tcMar>
            <w:vAlign w:val="center"/>
          </w:tcPr>
          <w:p w14:paraId="53D75BFA">
            <w:pPr>
              <w:pStyle w:val="5"/>
              <w:widowControl/>
              <w:spacing w:beforeAutospacing="0" w:afterAutospacing="0" w:line="240" w:lineRule="auto"/>
              <w:ind w:firstLine="0" w:firstLineChars="0"/>
              <w:jc w:val="center"/>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决定</w:t>
            </w:r>
          </w:p>
        </w:tc>
        <w:tc>
          <w:tcPr>
            <w:tcW w:w="503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932D375">
            <w:pPr>
              <w:pStyle w:val="5"/>
              <w:widowControl/>
              <w:snapToGrid/>
              <w:spacing w:beforeAutospacing="0" w:afterAutospacing="0" w:line="240" w:lineRule="auto"/>
              <w:ind w:firstLine="0" w:firstLineChars="0"/>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作出决定。</w:t>
            </w:r>
          </w:p>
        </w:tc>
        <w:tc>
          <w:tcPr>
            <w:tcW w:w="2036" w:type="dxa"/>
            <w:vMerge w:val="continue"/>
            <w:tcBorders>
              <w:left w:val="single" w:color="auto" w:sz="4" w:space="0"/>
              <w:right w:val="single" w:color="auto" w:sz="4" w:space="0"/>
            </w:tcBorders>
            <w:tcMar>
              <w:top w:w="15" w:type="dxa"/>
              <w:left w:w="15" w:type="dxa"/>
              <w:right w:w="15" w:type="dxa"/>
            </w:tcMar>
            <w:vAlign w:val="center"/>
          </w:tcPr>
          <w:p w14:paraId="621E9D94">
            <w:pPr>
              <w:spacing w:line="240" w:lineRule="auto"/>
              <w:ind w:firstLine="0" w:firstLineChars="0"/>
              <w:jc w:val="center"/>
              <w:rPr>
                <w:rFonts w:hint="eastAsia" w:ascii="宋体" w:hAnsi="宋体" w:eastAsia="宋体" w:cs="宋体"/>
                <w:color w:val="auto"/>
                <w:sz w:val="20"/>
                <w:szCs w:val="20"/>
                <w:shd w:val="clear" w:color="auto" w:fill="auto"/>
              </w:rPr>
            </w:pPr>
          </w:p>
        </w:tc>
        <w:tc>
          <w:tcPr>
            <w:tcW w:w="1256" w:type="dxa"/>
            <w:vMerge w:val="continue"/>
            <w:tcBorders>
              <w:left w:val="single" w:color="auto" w:sz="4" w:space="0"/>
              <w:right w:val="single" w:color="auto" w:sz="4" w:space="0"/>
            </w:tcBorders>
            <w:tcMar>
              <w:top w:w="15" w:type="dxa"/>
              <w:left w:w="15" w:type="dxa"/>
              <w:right w:w="15" w:type="dxa"/>
            </w:tcMar>
            <w:vAlign w:val="center"/>
          </w:tcPr>
          <w:p w14:paraId="6B560B5E">
            <w:pPr>
              <w:spacing w:line="240" w:lineRule="auto"/>
              <w:ind w:firstLine="0" w:firstLineChars="0"/>
              <w:jc w:val="center"/>
              <w:rPr>
                <w:rFonts w:hint="eastAsia" w:ascii="宋体" w:hAnsi="宋体" w:eastAsia="宋体" w:cs="宋体"/>
                <w:color w:val="auto"/>
                <w:sz w:val="20"/>
                <w:szCs w:val="20"/>
                <w:shd w:val="clear" w:color="auto" w:fill="auto"/>
              </w:rPr>
            </w:pPr>
          </w:p>
        </w:tc>
      </w:tr>
      <w:tr w14:paraId="40588518">
        <w:tblPrEx>
          <w:tblCellMar>
            <w:top w:w="0" w:type="dxa"/>
            <w:left w:w="0" w:type="dxa"/>
            <w:bottom w:w="0" w:type="dxa"/>
            <w:right w:w="0" w:type="dxa"/>
          </w:tblCellMar>
        </w:tblPrEx>
        <w:trPr>
          <w:trHeight w:val="831" w:hRule="atLeast"/>
        </w:trPr>
        <w:tc>
          <w:tcPr>
            <w:tcW w:w="746" w:type="dxa"/>
            <w:vMerge w:val="continue"/>
            <w:tcBorders>
              <w:left w:val="single" w:color="000000" w:sz="4" w:space="0"/>
              <w:right w:val="single" w:color="000000" w:sz="4" w:space="0"/>
            </w:tcBorders>
            <w:tcMar>
              <w:top w:w="15" w:type="dxa"/>
              <w:left w:w="15" w:type="dxa"/>
              <w:right w:w="15" w:type="dxa"/>
            </w:tcMar>
            <w:vAlign w:val="center"/>
          </w:tcPr>
          <w:p w14:paraId="6D566796">
            <w:pPr>
              <w:spacing w:line="240" w:lineRule="auto"/>
              <w:ind w:firstLine="0" w:firstLineChars="0"/>
              <w:jc w:val="center"/>
              <w:rPr>
                <w:rFonts w:hint="eastAsia" w:ascii="宋体" w:hAnsi="宋体" w:eastAsia="宋体" w:cs="宋体"/>
                <w:color w:val="auto"/>
                <w:sz w:val="20"/>
                <w:szCs w:val="20"/>
                <w:shd w:val="clear" w:color="auto" w:fill="auto"/>
              </w:rPr>
            </w:pPr>
          </w:p>
        </w:tc>
        <w:tc>
          <w:tcPr>
            <w:tcW w:w="1261" w:type="dxa"/>
            <w:vMerge w:val="continue"/>
            <w:tcBorders>
              <w:left w:val="single" w:color="000000" w:sz="4" w:space="0"/>
              <w:right w:val="single" w:color="000000" w:sz="4" w:space="0"/>
            </w:tcBorders>
            <w:tcMar>
              <w:top w:w="15" w:type="dxa"/>
              <w:left w:w="15" w:type="dxa"/>
              <w:right w:w="15" w:type="dxa"/>
            </w:tcMar>
            <w:vAlign w:val="center"/>
          </w:tcPr>
          <w:p w14:paraId="577D968B">
            <w:pPr>
              <w:spacing w:line="240" w:lineRule="auto"/>
              <w:ind w:firstLine="0" w:firstLineChars="0"/>
              <w:jc w:val="left"/>
              <w:rPr>
                <w:rFonts w:hint="eastAsia" w:ascii="宋体" w:hAnsi="宋体" w:eastAsia="宋体" w:cs="宋体"/>
                <w:color w:val="auto"/>
                <w:sz w:val="20"/>
                <w:szCs w:val="20"/>
                <w:shd w:val="clear" w:color="auto" w:fill="auto"/>
              </w:rPr>
            </w:pPr>
          </w:p>
        </w:tc>
        <w:tc>
          <w:tcPr>
            <w:tcW w:w="3275" w:type="dxa"/>
            <w:vMerge w:val="continue"/>
            <w:tcBorders>
              <w:left w:val="single" w:color="000000" w:sz="4" w:space="0"/>
              <w:right w:val="nil"/>
            </w:tcBorders>
            <w:tcMar>
              <w:top w:w="15" w:type="dxa"/>
              <w:left w:w="15" w:type="dxa"/>
              <w:right w:w="15" w:type="dxa"/>
            </w:tcMar>
            <w:vAlign w:val="center"/>
          </w:tcPr>
          <w:p w14:paraId="57736A6C">
            <w:pPr>
              <w:spacing w:line="240" w:lineRule="auto"/>
              <w:ind w:firstLine="0" w:firstLineChars="0"/>
              <w:rPr>
                <w:rFonts w:hint="eastAsia" w:ascii="宋体" w:hAnsi="宋体" w:eastAsia="宋体" w:cs="宋体"/>
                <w:color w:val="auto"/>
                <w:sz w:val="20"/>
                <w:szCs w:val="20"/>
                <w:shd w:val="clear" w:color="auto" w:fill="auto"/>
              </w:rPr>
            </w:pPr>
          </w:p>
        </w:tc>
        <w:tc>
          <w:tcPr>
            <w:tcW w:w="709" w:type="dxa"/>
            <w:vMerge w:val="continue"/>
            <w:tcBorders>
              <w:left w:val="single" w:color="000000" w:sz="4" w:space="0"/>
              <w:right w:val="single" w:color="000000" w:sz="4" w:space="0"/>
            </w:tcBorders>
            <w:tcMar>
              <w:top w:w="15" w:type="dxa"/>
              <w:left w:w="15" w:type="dxa"/>
              <w:right w:w="15" w:type="dxa"/>
            </w:tcMar>
            <w:vAlign w:val="center"/>
          </w:tcPr>
          <w:p w14:paraId="45A2C159">
            <w:pPr>
              <w:spacing w:line="240" w:lineRule="auto"/>
              <w:ind w:firstLine="0" w:firstLineChars="0"/>
              <w:jc w:val="center"/>
              <w:rPr>
                <w:rFonts w:hint="eastAsia" w:ascii="宋体" w:hAnsi="宋体" w:eastAsia="宋体" w:cs="宋体"/>
                <w:color w:val="auto"/>
                <w:sz w:val="20"/>
                <w:szCs w:val="20"/>
                <w:shd w:val="clear" w:color="auto" w:fill="auto"/>
              </w:rPr>
            </w:pPr>
          </w:p>
        </w:tc>
        <w:tc>
          <w:tcPr>
            <w:tcW w:w="1134" w:type="dxa"/>
            <w:tcBorders>
              <w:top w:val="single" w:color="auto" w:sz="4" w:space="0"/>
              <w:left w:val="single" w:color="000000" w:sz="4" w:space="0"/>
              <w:bottom w:val="single" w:color="auto" w:sz="4" w:space="0"/>
              <w:right w:val="single" w:color="auto" w:sz="4" w:space="0"/>
            </w:tcBorders>
            <w:tcMar>
              <w:top w:w="15" w:type="dxa"/>
              <w:left w:w="15" w:type="dxa"/>
              <w:right w:w="15" w:type="dxa"/>
            </w:tcMar>
            <w:vAlign w:val="center"/>
          </w:tcPr>
          <w:p w14:paraId="5E5018C4">
            <w:pPr>
              <w:pStyle w:val="5"/>
              <w:widowControl/>
              <w:spacing w:beforeAutospacing="0" w:afterAutospacing="0" w:line="240" w:lineRule="auto"/>
              <w:ind w:firstLine="0" w:firstLineChars="0"/>
              <w:jc w:val="center"/>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事后监管</w:t>
            </w:r>
          </w:p>
        </w:tc>
        <w:tc>
          <w:tcPr>
            <w:tcW w:w="503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884AAAE">
            <w:pPr>
              <w:pStyle w:val="5"/>
              <w:widowControl/>
              <w:snapToGrid/>
              <w:spacing w:beforeAutospacing="0" w:afterAutospacing="0" w:line="240" w:lineRule="auto"/>
              <w:ind w:firstLine="0" w:firstLineChars="0"/>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法律法规规章文件规定应履行的责任。</w:t>
            </w:r>
          </w:p>
        </w:tc>
        <w:tc>
          <w:tcPr>
            <w:tcW w:w="2036" w:type="dxa"/>
            <w:vMerge w:val="continue"/>
            <w:tcBorders>
              <w:left w:val="single" w:color="auto" w:sz="4" w:space="0"/>
              <w:right w:val="single" w:color="auto" w:sz="4" w:space="0"/>
            </w:tcBorders>
            <w:tcMar>
              <w:top w:w="15" w:type="dxa"/>
              <w:left w:w="15" w:type="dxa"/>
              <w:right w:w="15" w:type="dxa"/>
            </w:tcMar>
            <w:vAlign w:val="center"/>
          </w:tcPr>
          <w:p w14:paraId="435462F3">
            <w:pPr>
              <w:spacing w:line="240" w:lineRule="auto"/>
              <w:ind w:firstLine="0" w:firstLineChars="0"/>
              <w:jc w:val="center"/>
              <w:rPr>
                <w:rFonts w:hint="eastAsia" w:ascii="宋体" w:hAnsi="宋体" w:eastAsia="宋体" w:cs="宋体"/>
                <w:color w:val="auto"/>
                <w:sz w:val="20"/>
                <w:szCs w:val="20"/>
                <w:shd w:val="clear" w:color="auto" w:fill="auto"/>
              </w:rPr>
            </w:pPr>
          </w:p>
        </w:tc>
        <w:tc>
          <w:tcPr>
            <w:tcW w:w="1256" w:type="dxa"/>
            <w:vMerge w:val="continue"/>
            <w:tcBorders>
              <w:left w:val="single" w:color="auto" w:sz="4" w:space="0"/>
              <w:right w:val="single" w:color="auto" w:sz="4" w:space="0"/>
            </w:tcBorders>
            <w:tcMar>
              <w:top w:w="15" w:type="dxa"/>
              <w:left w:w="15" w:type="dxa"/>
              <w:right w:w="15" w:type="dxa"/>
            </w:tcMar>
            <w:vAlign w:val="center"/>
          </w:tcPr>
          <w:p w14:paraId="703E87EC">
            <w:pPr>
              <w:spacing w:line="240" w:lineRule="auto"/>
              <w:ind w:firstLine="0" w:firstLineChars="0"/>
              <w:jc w:val="center"/>
              <w:rPr>
                <w:rFonts w:hint="eastAsia" w:ascii="宋体" w:hAnsi="宋体" w:eastAsia="宋体" w:cs="宋体"/>
                <w:color w:val="auto"/>
                <w:sz w:val="20"/>
                <w:szCs w:val="20"/>
                <w:shd w:val="clear" w:color="auto" w:fill="auto"/>
              </w:rPr>
            </w:pPr>
          </w:p>
        </w:tc>
      </w:tr>
      <w:tr w14:paraId="32F459D4">
        <w:tblPrEx>
          <w:tblCellMar>
            <w:top w:w="0" w:type="dxa"/>
            <w:left w:w="0" w:type="dxa"/>
            <w:bottom w:w="0" w:type="dxa"/>
            <w:right w:w="0" w:type="dxa"/>
          </w:tblCellMar>
        </w:tblPrEx>
        <w:trPr>
          <w:trHeight w:val="553" w:hRule="atLeast"/>
        </w:trPr>
        <w:tc>
          <w:tcPr>
            <w:tcW w:w="746" w:type="dxa"/>
            <w:vMerge w:val="continue"/>
            <w:tcBorders>
              <w:left w:val="single" w:color="000000" w:sz="4" w:space="0"/>
              <w:right w:val="single" w:color="000000" w:sz="4" w:space="0"/>
            </w:tcBorders>
            <w:tcMar>
              <w:top w:w="15" w:type="dxa"/>
              <w:left w:w="15" w:type="dxa"/>
              <w:right w:w="15" w:type="dxa"/>
            </w:tcMar>
            <w:vAlign w:val="center"/>
          </w:tcPr>
          <w:p w14:paraId="2CD3228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shd w:val="clear" w:color="auto" w:fill="auto"/>
                <w:lang w:eastAsia="zh-CN"/>
              </w:rPr>
            </w:pPr>
          </w:p>
        </w:tc>
        <w:tc>
          <w:tcPr>
            <w:tcW w:w="14704" w:type="dxa"/>
            <w:gridSpan w:val="7"/>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26905DD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调整情况：调整职权名称由“机动车驾驶员培训许可”改为“机动车驾驶员培训备案”；职权类别由“行政许可”改为“其他职权”</w:t>
            </w:r>
          </w:p>
        </w:tc>
      </w:tr>
      <w:tr w14:paraId="0F0E341D">
        <w:tblPrEx>
          <w:tblCellMar>
            <w:top w:w="0" w:type="dxa"/>
            <w:left w:w="0" w:type="dxa"/>
            <w:bottom w:w="0" w:type="dxa"/>
            <w:right w:w="0" w:type="dxa"/>
          </w:tblCellMar>
        </w:tblPrEx>
        <w:trPr>
          <w:trHeight w:val="455" w:hRule="atLeast"/>
        </w:trPr>
        <w:tc>
          <w:tcPr>
            <w:tcW w:w="746"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14:paraId="242E646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default" w:ascii="宋体" w:hAnsi="宋体" w:eastAsia="宋体" w:cs="宋体"/>
                <w:color w:val="auto"/>
                <w:sz w:val="20"/>
                <w:szCs w:val="20"/>
                <w:shd w:val="clear" w:color="auto" w:fill="auto"/>
                <w:lang w:val="en-US"/>
              </w:rPr>
            </w:pPr>
          </w:p>
        </w:tc>
        <w:tc>
          <w:tcPr>
            <w:tcW w:w="14704" w:type="dxa"/>
            <w:gridSpan w:val="7"/>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E78E12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center"/>
              <w:rPr>
                <w:rFonts w:hint="eastAsia" w:ascii="宋体" w:hAnsi="宋体" w:eastAsia="宋体" w:cs="宋体"/>
                <w:color w:val="auto"/>
                <w:sz w:val="20"/>
                <w:szCs w:val="20"/>
                <w:highlight w:val="none"/>
                <w:shd w:val="clear" w:color="auto" w:fill="auto"/>
                <w:lang w:eastAsia="zh-CN"/>
              </w:rPr>
            </w:pPr>
            <w:r>
              <w:rPr>
                <w:rFonts w:hint="eastAsia" w:ascii="宋体" w:hAnsi="宋体" w:eastAsia="宋体" w:cs="宋体"/>
                <w:color w:val="auto"/>
                <w:sz w:val="20"/>
                <w:szCs w:val="20"/>
                <w:highlight w:val="none"/>
                <w:shd w:val="clear" w:color="auto" w:fill="auto"/>
                <w:lang w:eastAsia="zh-CN"/>
              </w:rPr>
              <w:t>调整原因：按照新修订《中华人民共和国道路运输条例》规定，机动车驾驶员培训无需取得许可，只需备案。</w:t>
            </w:r>
          </w:p>
        </w:tc>
      </w:tr>
    </w:tbl>
    <w:p w14:paraId="590FE509">
      <w:pPr>
        <w:keepNext w:val="0"/>
        <w:keepLines w:val="0"/>
        <w:pageBreakBefore w:val="0"/>
        <w:widowControl w:val="0"/>
        <w:shd w:val="clear"/>
        <w:kinsoku/>
        <w:wordWrap/>
        <w:overflowPunct/>
        <w:topLinePunct w:val="0"/>
        <w:autoSpaceDE/>
        <w:autoSpaceDN w:val="0"/>
        <w:bidi w:val="0"/>
        <w:adjustRightInd/>
        <w:snapToGrid/>
        <w:spacing w:before="157" w:beforeLines="50" w:after="0" w:line="240" w:lineRule="auto"/>
        <w:ind w:left="0" w:leftChars="0" w:right="0" w:firstLine="0" w:firstLineChars="0"/>
        <w:jc w:val="center"/>
        <w:textAlignment w:val="center"/>
        <w:outlineLvl w:val="9"/>
        <w:rPr>
          <w:rFonts w:hint="eastAsia" w:ascii="黑体" w:hAnsi="黑体" w:eastAsia="黑体" w:cs="黑体"/>
          <w:b w:val="0"/>
          <w:bCs w:val="0"/>
          <w:i w:val="0"/>
          <w:color w:val="auto"/>
          <w:kern w:val="0"/>
          <w:sz w:val="44"/>
          <w:szCs w:val="44"/>
          <w:highlight w:val="none"/>
          <w:u w:val="none"/>
          <w:shd w:val="clear" w:color="auto" w:fill="auto"/>
          <w:lang w:val="en-US" w:eastAsia="zh-CN"/>
        </w:rPr>
      </w:pPr>
      <w:r>
        <w:rPr>
          <w:rFonts w:hint="eastAsia" w:ascii="黑体" w:hAnsi="黑体" w:eastAsia="黑体" w:cs="黑体"/>
          <w:b w:val="0"/>
          <w:bCs w:val="0"/>
          <w:i w:val="0"/>
          <w:color w:val="auto"/>
          <w:kern w:val="0"/>
          <w:sz w:val="44"/>
          <w:szCs w:val="44"/>
          <w:highlight w:val="none"/>
          <w:u w:val="none"/>
          <w:shd w:val="clear" w:color="auto" w:fill="auto"/>
          <w:lang w:val="en-US" w:eastAsia="zh-CN"/>
        </w:rPr>
        <w:t xml:space="preserve"> </w:t>
      </w:r>
    </w:p>
    <w:p w14:paraId="1EB28888">
      <w:pPr>
        <w:rPr>
          <w:rFonts w:hint="default"/>
          <w:lang w:val="en-US"/>
        </w:rPr>
      </w:pPr>
      <w:r>
        <w:rPr>
          <w:rFonts w:hint="eastAsia" w:ascii="黑体" w:hAnsi="黑体" w:eastAsia="黑体" w:cs="黑体"/>
          <w:b w:val="0"/>
          <w:bCs w:val="0"/>
          <w:i w:val="0"/>
          <w:color w:val="auto"/>
          <w:kern w:val="0"/>
          <w:sz w:val="44"/>
          <w:szCs w:val="44"/>
          <w:highlight w:val="none"/>
          <w:u w:val="none"/>
          <w:shd w:val="clear" w:color="auto" w:fill="auto"/>
          <w:lang w:val="en-US" w:eastAsia="zh-CN"/>
        </w:rPr>
        <w:t xml:space="preserve"> </w:t>
      </w:r>
    </w:p>
    <w:sectPr>
      <w:pgSz w:w="16838" w:h="11906" w:orient="landscape"/>
      <w:pgMar w:top="1179" w:right="1440" w:bottom="1179"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7D27FF"/>
    <w:rsid w:val="03A2514E"/>
    <w:rsid w:val="08FF094D"/>
    <w:rsid w:val="0B9C2483"/>
    <w:rsid w:val="0F557518"/>
    <w:rsid w:val="12490E8B"/>
    <w:rsid w:val="29A21154"/>
    <w:rsid w:val="311F29EB"/>
    <w:rsid w:val="367C2AF7"/>
    <w:rsid w:val="39C11183"/>
    <w:rsid w:val="3F823162"/>
    <w:rsid w:val="424E1A22"/>
    <w:rsid w:val="45CF69D6"/>
    <w:rsid w:val="466C2476"/>
    <w:rsid w:val="47A9327A"/>
    <w:rsid w:val="485B6C46"/>
    <w:rsid w:val="53407DE6"/>
    <w:rsid w:val="5AE633E8"/>
    <w:rsid w:val="604C0059"/>
    <w:rsid w:val="617D27FF"/>
    <w:rsid w:val="62C3204A"/>
    <w:rsid w:val="6AAB0F10"/>
    <w:rsid w:val="6CF05300"/>
    <w:rsid w:val="71290DE0"/>
    <w:rsid w:val="78801AE6"/>
    <w:rsid w:val="7B310FBD"/>
    <w:rsid w:val="7E207966"/>
    <w:rsid w:val="7FA63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line="600" w:lineRule="exact"/>
      <w:ind w:firstLine="1044" w:firstLineChars="200"/>
      <w:jc w:val="both"/>
    </w:pPr>
    <w:rPr>
      <w:rFonts w:ascii="仿宋_GB2312" w:hAnsi="仿宋_GB2312"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rPr>
  </w:style>
  <w:style w:type="paragraph" w:customStyle="1" w:styleId="5">
    <w:name w:val="普通(网站)1"/>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5289</Words>
  <Characters>5459</Characters>
  <Lines>0</Lines>
  <Paragraphs>0</Paragraphs>
  <TotalTime>1</TotalTime>
  <ScaleCrop>false</ScaleCrop>
  <LinksUpToDate>false</LinksUpToDate>
  <CharactersWithSpaces>5494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2025-12-23T01:58:00Z</dcterms:created>
  <dc:creator>琳儿</dc:creator>
  <cp:lastModifiedBy>琳儿</cp:lastModifiedBy>
  <dcterms:modified xsi:type="dcterms:W3CDTF">2025-12-24T01:58:24Z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4D126F6F58E04EFB83C875A6372F6C69_11</vt:lpwstr>
  </property>
  <property fmtid="{D5CDD505-2E9C-101B-9397-08002B2CF9AE}" pid="4" name="KSOTemplateDocerSaveRecord">
    <vt:lpwstr>eyJoZGlkIjoiZjg3NTA2N2IwOTgyZWY3MDMwNDNjMGNjMmYyMjA0M2IiLCJ1c2VySWQiOiIxMDg1MzQ4MDQyIn0=</vt:lpwstr>
  </property>
</Properties>
</file>