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FA28D">
      <w:pPr>
        <w:keepNext w:val="0"/>
        <w:keepLines w:val="0"/>
        <w:pageBreakBefore w:val="0"/>
        <w:widowControl w:val="0"/>
        <w:shd w:val="clear"/>
        <w:kinsoku/>
        <w:wordWrap/>
        <w:topLinePunct w:val="0"/>
        <w:autoSpaceDE/>
        <w:autoSpaceDN w:val="0"/>
        <w:bidi w:val="0"/>
        <w:adjustRightInd/>
        <w:snapToGrid/>
        <w:spacing w:before="0" w:after="0" w:line="240" w:lineRule="auto"/>
        <w:ind w:left="0" w:leftChars="0" w:right="0" w:firstLine="0" w:firstLineChars="0"/>
        <w:jc w:val="both"/>
        <w:textAlignment w:val="center"/>
        <w:outlineLvl w:val="9"/>
        <w:rPr>
          <w:rFonts w:hint="eastAsia"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val="en-US" w:eastAsia="zh-CN"/>
        </w:rPr>
        <w:t>附件3</w:t>
      </w:r>
    </w:p>
    <w:p w14:paraId="6A0FCD6B">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r>
        <w:rPr>
          <w:rFonts w:hint="eastAsia" w:ascii="黑体" w:hAnsi="黑体" w:eastAsia="黑体" w:cs="黑体"/>
          <w:b w:val="0"/>
          <w:bCs w:val="0"/>
          <w:i w:val="0"/>
          <w:color w:val="auto"/>
          <w:kern w:val="0"/>
          <w:sz w:val="44"/>
          <w:szCs w:val="44"/>
          <w:highlight w:val="none"/>
          <w:u w:val="none"/>
          <w:shd w:val="clear" w:color="auto" w:fill="auto"/>
          <w:lang w:val="en-US" w:eastAsia="zh-CN"/>
        </w:rPr>
        <w:t>社旗县交通运输局权责清单调整情况表</w:t>
      </w: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27E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68A3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58A6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0169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F6A2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6475F97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F6A4E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7AAA3D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EE7174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02841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5042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D4BF29F">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F4E19A">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擅自占用、挖掘公路的处罚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乡道、村道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5B2A52B5">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《中华人民共和国公路法》第七十六条： “ 有下列违法行为之一的，由交通主管部门责令停止违法行为，可以处三万元以下的罚款：（一）违反本法第四十四条第一款规定，擅自占用挖掘公路的;……。”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49B35D7C">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18D16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94D4B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7C1C48C">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08FCA6A">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73B8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4596CB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FF2A6E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1F1205E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752118C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9B466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57596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33A64D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BDBEBE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CE3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4192AB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33F825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1D915F0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EF2038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3B93D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3C738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A13FE0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9C7CB0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A13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641E14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C9F839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7AFFD1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40DF13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6A685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EC8A0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56E649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76582D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66E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C2780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B39A6A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02AF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495BC1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5A738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r w14:paraId="6169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378C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676C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EBF3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A629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66FFD79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829B50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AAC94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BC17327">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D4B967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372C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41299DF">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2</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07E4529">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铁轮车、履带车和其他可能损害路面的机具擅自在公路上行驶的处罚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乡道、村道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78D8280B">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《中华人民共和国公路法》（2017年主席令第81号）第七十六条： “有下列违法行为之一的，由交通主管部门责令停止违法行为，可以处三万元以下的罚款： …… （四）违反本法第四十八条规定，铁轮车、履带车和其他可能损害路面的机具擅自在公路上行驶的。”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0D18CC1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BB59F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F8AC9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1CD6BF8">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EA18C0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1E54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024DEB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E0DC60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413CEC8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549836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C2424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B1923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BFF51B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63942E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D47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8A9532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17C72D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53865BE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3574BB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A8996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B0DFC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D40E10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0B412A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4F06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514B72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3B9B69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50172D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52A5F2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821DC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A4C54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BB9FDD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414D24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F1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0CD3E6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4DCD5E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2834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4AD10E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3AB8F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217336B7">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BD2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A64A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A938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D8638">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95D7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16192A67">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1A65D3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7D6AE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9F3017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3A111D7">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43DE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3F173F">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3</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1B9735">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bidi="ar"/>
              </w:rPr>
              <w:t>损坏、移动、涂改公路附属设施或者损坏、挪动建筑控制区的标桩、界桩，可能危及公路安全的处罚</w:t>
            </w:r>
            <w:r>
              <w:rPr>
                <w:rFonts w:hint="eastAsia" w:ascii="宋体" w:hAnsi="宋体" w:eastAsia="宋体" w:cs="宋体"/>
                <w:color w:val="auto"/>
                <w:kern w:val="0"/>
                <w:sz w:val="20"/>
                <w:szCs w:val="20"/>
                <w:highlight w:val="none"/>
                <w:shd w:val="clear" w:color="auto" w:fill="auto"/>
                <w:lang w:eastAsia="zh-CN" w:bidi="ar"/>
              </w:rPr>
              <w:t>（</w:t>
            </w:r>
            <w:r>
              <w:rPr>
                <w:rFonts w:hint="eastAsia" w:ascii="宋体" w:hAnsi="宋体" w:eastAsia="宋体" w:cs="宋体"/>
                <w:color w:val="auto"/>
                <w:kern w:val="0"/>
                <w:sz w:val="20"/>
                <w:szCs w:val="20"/>
                <w:highlight w:val="none"/>
                <w:shd w:val="clear" w:color="auto" w:fill="auto"/>
                <w:lang w:val="en-US" w:eastAsia="zh-CN" w:bidi="ar"/>
              </w:rPr>
              <w:t>乡道、村道</w:t>
            </w:r>
            <w:r>
              <w:rPr>
                <w:rFonts w:hint="eastAsia" w:ascii="宋体" w:hAnsi="宋体" w:eastAsia="宋体" w:cs="宋体"/>
                <w:color w:val="auto"/>
                <w:kern w:val="0"/>
                <w:sz w:val="20"/>
                <w:szCs w:val="20"/>
                <w:highlight w:val="none"/>
                <w:shd w:val="clear" w:color="auto" w:fill="auto"/>
                <w:lang w:eastAsia="zh-CN" w:bidi="ar"/>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423499D4">
            <w:pPr>
              <w:keepNext w:val="0"/>
              <w:keepLines w:val="0"/>
              <w:pageBreakBefore w:val="0"/>
              <w:widowControl w:val="0"/>
              <w:kinsoku/>
              <w:wordWrap/>
              <w:overflowPunct w:val="0"/>
              <w:topLinePunct w:val="0"/>
              <w:autoSpaceDE/>
              <w:bidi w:val="0"/>
              <w:snapToGrid w:val="0"/>
              <w:spacing w:line="240" w:lineRule="auto"/>
              <w:ind w:left="0" w:firstLine="0" w:firstLineChars="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2017年主席令第81号）第七十六条：“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14:paraId="62F69C07">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公路安全保护条例》（国务院令第593号）第六十条：“违反本条例的规定，有下列行为之一的，由公路管理机构责令改正，可以处3万元以下的罚款：（一）损坏、擅自移动、涂改、遮挡公路附属设施或者利用公路附属设施架设管道、悬挂物品，可能危及公路安全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1FA24AF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3188B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5B7C7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D86730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24562AF">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7E5F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492E39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CC84C2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29294B1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15849B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3102E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69BBB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2B2794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5DA95B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5493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36E170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609F5A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506F1C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544708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6B4FF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62A4A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85D8E7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EE08AE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67A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31C398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0CC292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284281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EA60E0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DFC65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4EEA8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58609A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FEDBF2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40BD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A03AE1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C19AB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55DA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815599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D93A3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4FA3B19F">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346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DC2E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8610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C924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DE3E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17C4046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4916E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7DC8AE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55E52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EC09D4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43FC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C92EDD">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4</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727CF2">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在公路上及公路用地范围内摆摊设点、堆放物品、倾倒垃圾、设置障碍、挖沟引水、利用公路边沟排放污物或者进行其他损坏、污染公路和影响公路畅通的活动造成公路路面损坏、污染或者影响公路畅通或者机动车制造厂和其他单位将公路作为检验机动车制动性能的试车场地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乡道、村道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437FCB05">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《中华人民共和国公路法》（2017年主席令第81号）第七十七条：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0C657414">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002A5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A6C29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64CCB60">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9DBF1C3">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0C6B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233BB8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30E3F7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234D357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22984B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856E5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2B574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5F9253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B8CD68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BEF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4DC7FA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989A0E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028B5D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F16968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D654F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8905C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E16A03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802B4F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2AD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3BD564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2704B4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45DE0ED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CDB3DC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2D09E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C6C2A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DE907A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2BCD0F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52E8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0BF1E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27DAF8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0CB4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2AB20E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C7A6F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648AA4A4">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31F2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358D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6646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2796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AA45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78513F2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DC6F2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ADE36E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C1C866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5074B7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65F6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D0BD96">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5</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CCB801">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造成公路损坏，责任者未及时报告公路管理机构的处罚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0584739B">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《中华人民共和国公路法》（2017年主席令第81号）第七十八条： “违反本法第五十三条规定，造成公路损坏，未报告的，由交通主管部门处一千元以下的罚款。”</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4198BB70">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E4D7B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88B60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0083F2F">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74BAEA2">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69C3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20238E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F102A4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30FE790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613DD82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BBD3A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8DDF7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AFC1DB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BB6691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CE0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A7FF99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BE6503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00DCB2B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825585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AFE76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39FE6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5926D7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17E98E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464D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06CE81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909FD9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214BA74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684E9F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7F8D6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96E3C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EFAB00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4696BC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368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5DF766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9825B4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7FD4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57FAF7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C0024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565B2467">
      <w:pPr>
        <w:rPr>
          <w:color w:val="auto"/>
        </w:rPr>
      </w:pPr>
    </w:p>
    <w:p w14:paraId="54470AD7">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p w14:paraId="425C426E">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p w14:paraId="7F4D0D5F">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4BC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3875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C59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D18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C356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5013EAA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D4D159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154ED6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59C9D9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F9B1A1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0A93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700636">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6</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AE5ACB5">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未经批准在公路上增设平面交叉道口的处罚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w:t>
            </w:r>
            <w:r>
              <w:rPr>
                <w:rFonts w:hint="eastAsia" w:ascii="宋体" w:hAnsi="宋体" w:eastAsia="宋体" w:cs="宋体"/>
                <w:color w:val="auto"/>
                <w:sz w:val="20"/>
                <w:szCs w:val="20"/>
                <w:highlight w:val="none"/>
                <w:shd w:val="clear" w:color="auto" w:fill="auto"/>
                <w:lang w:eastAsia="zh-CN"/>
              </w:rPr>
              <w:t>）</w:t>
            </w:r>
            <w:bookmarkStart w:id="3" w:name="_GoBack"/>
            <w:bookmarkEnd w:id="3"/>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21372C46">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《中华人民共和国公路法》第八十条： “ 违反本法第五十五条规定，未经批准在公路上增设平面交叉道口的，由交通主管部门责令恢复原状，处五万元以下的罚款。”</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65CC1186">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9B776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1A2E6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8C6A9E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BE15D73">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530A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DA5450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5401092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79A70FC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D4FF97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FBD1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7296B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13BB44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0D72F25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4D00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B78FA1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C4DD21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08D121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07A82E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E995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35069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7BBF67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F723EA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5DE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2ED49F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904A7B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0D31255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F066E8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D03DB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8B20D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0DEEAB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1624F2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153C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6B4FC6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64A3DB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62C9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E677CB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8F05B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5B5766AB">
      <w:pPr>
        <w:rPr>
          <w:color w:val="auto"/>
        </w:rPr>
      </w:pPr>
    </w:p>
    <w:p w14:paraId="510DA561">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49546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F722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790C8">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A8018">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DB29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7BE4BFB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A744EC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02E52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6C8D69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EC724D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28AE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F37D54">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7</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55FAD1">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在公路建筑控制区内修建建筑物、地面构筑物或者擅自埋设管线、电缆等设施的处罚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乡道、村道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583681AC">
            <w:pPr>
              <w:keepNext w:val="0"/>
              <w:keepLines w:val="0"/>
              <w:pageBreakBefore w:val="0"/>
              <w:widowControl w:val="0"/>
              <w:kinsoku/>
              <w:wordWrap/>
              <w:overflowPunct w:val="0"/>
              <w:topLinePunct w:val="0"/>
              <w:autoSpaceDE/>
              <w:bidi w:val="0"/>
              <w:snapToGrid w:val="0"/>
              <w:spacing w:line="240" w:lineRule="auto"/>
              <w:ind w:left="0" w:firstLine="0" w:firstLineChars="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《中华人民共和国公路法》（2017年主席令第81号）第八十一条：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643C8787">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《公路安全保护条例》（国务院令第593号）第五十六条： “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65DFE5B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F99E8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251B1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8944497">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5C8C89B">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5825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0BB409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2F0C11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69BC19E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DDAC3B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DFC11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1035C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722873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94EB07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E8A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5F7AB6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48335A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4AD85F1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D64577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CAE23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CD68D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43FA99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4C0DDE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6BE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44DB63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93B322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D28E3C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98F2DB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44244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D94CC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056680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DF5C07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E81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81A970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81CC6C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5FC2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8AC574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A13C7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5E3E8531">
      <w:pPr>
        <w:rPr>
          <w:color w:val="auto"/>
        </w:rPr>
      </w:pPr>
    </w:p>
    <w:p w14:paraId="697819ED">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7E2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83B5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5495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CC230">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83FA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4129ED0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2FDF81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5D513F0">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421EA7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31F90D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2578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900E7C">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8</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E2BF43">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在公路建筑控制区外修建的建筑物、地面构筑物以及其他设施遮挡公路标志或者妨碍安全视距的处罚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763B9986">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《公路安全保护条例》（国务院令第593号）第五十六条：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52068DC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2AFCF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BB7E1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ACFAEA">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13C839">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10E8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F901CE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9C03A1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4E15E45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D1FB5A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6BB2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40BE0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8F9339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EF4FF7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A84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9F1A50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019A30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6C7C2BB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87B3DE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C6511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827CA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16F3C1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6B0A32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AE2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D5F016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1A5DB6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2E1613C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08B3B8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AD762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DA89A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4FB713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3FFD20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79A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3C852D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3CDEC9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7091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74B09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CDC79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1A6449C1">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10F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07E1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A7A4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D7A4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2387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0DA2010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69B78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DF53270">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6F216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E81A2B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0961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70C9A8">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9</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4A6A371">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涉路工程设施影响公路完好、安全和畅通的处罚</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乡道</w:t>
            </w:r>
            <w:r>
              <w:rPr>
                <w:rFonts w:hint="eastAsia" w:ascii="宋体" w:hAnsi="宋体" w:eastAsia="宋体" w:cs="宋体"/>
                <w:color w:val="auto"/>
                <w:sz w:val="20"/>
                <w:szCs w:val="20"/>
                <w:highlight w:val="none"/>
                <w:shd w:val="clear" w:color="auto" w:fill="auto"/>
                <w:lang w:eastAsia="zh-CN"/>
              </w:rPr>
              <w:t>）</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6BCFF24E">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《公路安全保护条例》（国务院令第593号）第六十条： “违反本条例的规定，有下列行为之一的，由公路管理机构责令改正，可以处3万元以下的罚款：……（二）涉路工程设施影响公路完好、安全和畅通的。”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5752678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AC178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49FD2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672AF01">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B32C63C">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7608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C41E57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C4FB53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6BA0354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79A8AF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F53F5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FF4CA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8A5BBD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9DEFAA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4A5F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B67F4C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D1D75E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3E57C7E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1D7FD7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D921F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2CAFE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1C2AA6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8091B2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1DB7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6336B5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302D90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47F85C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C21B68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C79C2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87270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FD8A00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9BA575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BC0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BA6F3E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D94910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调整情况：下放</w:t>
            </w:r>
          </w:p>
        </w:tc>
      </w:tr>
      <w:tr w14:paraId="34B9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83BE3B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446B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调整原因：根据《南阳市人民政府关于优化调整赋予乡镇（街道）行政处罚权的通知(宛政[2025]11号)文件要求</w:t>
            </w:r>
          </w:p>
        </w:tc>
      </w:tr>
    </w:tbl>
    <w:p w14:paraId="157EA156">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p w14:paraId="57AEDB93">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7C7B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E1BC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20EC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336C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943B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6B662A7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2404C1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830BC5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6D3AD4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F31597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7E8A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E8E6E29">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default"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10</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4920CE2">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游艇操作人员操作游艇时未携带合格的适任证书的处罚</w:t>
            </w:r>
          </w:p>
          <w:p w14:paraId="2BA1AE06">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color w:val="auto"/>
                <w:sz w:val="20"/>
                <w:szCs w:val="20"/>
                <w:highlight w:val="none"/>
                <w:shd w:val="clear" w:color="auto" w:fill="auto"/>
                <w:lang w:eastAsia="zh-CN"/>
              </w:rPr>
            </w:pP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6B2A6A1E">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color w:val="auto"/>
                <w:sz w:val="20"/>
                <w:szCs w:val="20"/>
                <w:highlight w:val="none"/>
                <w:shd w:val="clear" w:color="auto" w:fill="auto"/>
              </w:rPr>
            </w:pPr>
            <w:r>
              <w:rPr>
                <w:rFonts w:hint="default" w:ascii="宋体" w:hAnsi="宋体" w:eastAsia="宋体" w:cs="宋体"/>
                <w:color w:val="auto"/>
                <w:sz w:val="20"/>
                <w:szCs w:val="20"/>
                <w:highlight w:val="none"/>
                <w:shd w:val="clear" w:color="auto" w:fill="auto"/>
                <w:lang w:val="en-US" w:eastAsia="zh-CN"/>
              </w:rPr>
              <w:t>《游艇安全管理规定》（交通运输部令2008年第7号）第三十八条：“违反本规定，游艇操作人员操作游艇时未携带合格的适任证书的，由海事管理机构责令改正，并可处以2000元以下罚款。</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6D2C11C1">
            <w:pPr>
              <w:keepNext w:val="0"/>
              <w:keepLines w:val="0"/>
              <w:widowControl/>
              <w:suppressLineNumbers w:val="0"/>
              <w:ind w:left="0" w:leftChars="0" w:firstLine="0" w:firstLineChars="0"/>
              <w:jc w:val="both"/>
              <w:textAlignment w:val="center"/>
              <w:rPr>
                <w:rFonts w:hint="eastAsia" w:ascii="宋体" w:hAnsi="宋体" w:eastAsia="宋体" w:cs="宋体"/>
                <w:i w:val="0"/>
                <w:caps w:val="0"/>
                <w:color w:val="auto"/>
                <w:spacing w:val="0"/>
                <w:sz w:val="20"/>
                <w:szCs w:val="20"/>
                <w:highlight w:val="none"/>
                <w:shd w:val="clear" w:color="auto" w:fill="auto"/>
                <w:lang w:val="en-US" w:eastAsia="zh-CN"/>
              </w:rPr>
            </w:pPr>
            <w:r>
              <w:rPr>
                <w:rFonts w:hint="default" w:ascii="宋体" w:hAnsi="宋体" w:eastAsia="宋体" w:cs="宋体"/>
                <w:color w:val="auto"/>
                <w:sz w:val="20"/>
                <w:szCs w:val="20"/>
                <w:highlight w:val="none"/>
                <w:shd w:val="clear" w:color="auto" w:fill="auto"/>
                <w:lang w:val="en-US"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28378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1CCD0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7F5C18A">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76301EE">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65F7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F27BB8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EAB9D9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6BB3F64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45237B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89C69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D06CB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49ED60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D21CD4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5872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DDD23D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9D97C8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556EC86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D82B75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E451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52EE3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B09B2B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A97B25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33E5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4C3F99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1DC8196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1A0AF37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7806D95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72D18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70E1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0AB2CD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AE9362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8ED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40AD7A1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3FB919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调整情况：取消</w:t>
            </w:r>
          </w:p>
        </w:tc>
      </w:tr>
      <w:tr w14:paraId="2E41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1B4A0B3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D9714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eastAsia="zh-CN"/>
              </w:rPr>
              <w:t>调整原因：根据市交通运输局权责清单动态调整，</w:t>
            </w:r>
            <w:r>
              <w:rPr>
                <w:rFonts w:hint="eastAsia" w:ascii="宋体" w:hAnsi="宋体" w:eastAsia="宋体" w:cs="宋体"/>
                <w:color w:val="auto"/>
                <w:sz w:val="20"/>
                <w:szCs w:val="20"/>
                <w:highlight w:val="none"/>
                <w:shd w:val="clear" w:color="auto" w:fill="auto"/>
                <w:lang w:val="en-US" w:eastAsia="zh-CN"/>
              </w:rPr>
              <w:t>辖区未开展水路运输业务无处罚对象。</w:t>
            </w:r>
          </w:p>
        </w:tc>
      </w:tr>
    </w:tbl>
    <w:p w14:paraId="2F69CBAF">
      <w:pPr>
        <w:rPr>
          <w:color w:val="auto"/>
        </w:rPr>
      </w:pPr>
    </w:p>
    <w:p w14:paraId="1DA6A23B">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0C90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4D9F0">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0263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F04E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91AB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10D5235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1289EF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56FE18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12F0C77">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F0135B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2403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FEE05A6">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default"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11</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2F238A4">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b w:val="0"/>
                <w:bCs w:val="0"/>
                <w:color w:val="auto"/>
                <w:sz w:val="20"/>
                <w:szCs w:val="20"/>
                <w:highlight w:val="none"/>
                <w:u w:val="none"/>
                <w:shd w:val="clear" w:color="auto" w:fill="auto"/>
                <w:lang w:eastAsia="zh-CN"/>
              </w:rPr>
              <w:t>超载运输货物、旅客,或者违反国家规定运输禁运、限运的货物的;跨航区、航线运输的;运载牛、马等大牲畜时,同时搭载其他乘客;运载机动车辆时,未进行人车分离的处罚</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68A2E5D8">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河南省水路交通管理办法》（河南省人民政府令2011年第138号）第三十六条：“违反本办法规定,有下列行为之一的,由交通运输执法人员按照规定采取相应的强制措施,及时纠正违法行为,消除安全隐患;对船舶经营人或者所有人由县级以上交通运输行政主管部门处以500元以上2000元以下的罚款:</w:t>
            </w:r>
          </w:p>
          <w:p w14:paraId="1DE7D059">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(一)超载运输货物、旅客,或者违反国家规定运输禁运、限运的货物的;</w:t>
            </w:r>
          </w:p>
          <w:p w14:paraId="3AE6E702">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(二)跨航区、航线运输的;</w:t>
            </w:r>
          </w:p>
          <w:p w14:paraId="749DAAD9">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b w:val="0"/>
                <w:bCs w:val="0"/>
                <w:color w:val="auto"/>
                <w:sz w:val="20"/>
                <w:szCs w:val="20"/>
                <w:highlight w:val="none"/>
                <w:u w:val="none"/>
                <w:shd w:val="clear" w:color="auto" w:fill="auto"/>
                <w:lang w:val="en-US" w:eastAsia="zh-CN"/>
              </w:rPr>
              <w:t>(三)运载牛、马等大牲畜时,同时搭载其他乘客;运载机动车辆时,未进行人车分离的。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5277463E">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91859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BD65C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97142A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C6C354A">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5FEB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167D1F9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E39F67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0EDA4B4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CE7583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E32B2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38E46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C1EC96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2D89F1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480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34B99E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9A2257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46BD00B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94C70E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B1F88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B8806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366F7A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65F839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6D5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46B747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936DD0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1A3A297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7072AE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FD5DB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2305A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00EC0A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866B6E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5578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932899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5AFA9F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调整情况：取消</w:t>
            </w:r>
          </w:p>
        </w:tc>
      </w:tr>
      <w:tr w14:paraId="7EAC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CF087B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3CC69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调整原因：根据市交通运输局权责清单动态调整，</w:t>
            </w:r>
            <w:r>
              <w:rPr>
                <w:rFonts w:hint="eastAsia" w:ascii="宋体" w:hAnsi="宋体" w:eastAsia="宋体" w:cs="宋体"/>
                <w:color w:val="auto"/>
                <w:sz w:val="20"/>
                <w:szCs w:val="20"/>
                <w:highlight w:val="none"/>
                <w:shd w:val="clear" w:color="auto" w:fill="auto"/>
                <w:lang w:val="en-US" w:eastAsia="zh-CN"/>
              </w:rPr>
              <w:t>辖区未开展水路运输业务无处罚对象。</w:t>
            </w:r>
          </w:p>
        </w:tc>
      </w:tr>
    </w:tbl>
    <w:p w14:paraId="5A75221A">
      <w:pPr>
        <w:rPr>
          <w:color w:val="auto"/>
        </w:rPr>
      </w:pPr>
    </w:p>
    <w:p w14:paraId="3A1386A8">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C4F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9F56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2CEE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09F0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8DB7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5C9CAD5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A7DD73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4809C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764FE7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A6AFC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4AF9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749764A">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default"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12</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D16CD1">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b w:val="0"/>
                <w:bCs w:val="0"/>
                <w:color w:val="auto"/>
                <w:sz w:val="20"/>
                <w:szCs w:val="20"/>
                <w:highlight w:val="none"/>
                <w:u w:val="none"/>
                <w:shd w:val="clear" w:color="auto" w:fill="auto"/>
                <w:lang w:eastAsia="zh-CN"/>
              </w:rPr>
              <w:t>夜航或者在浓雾、暴雨、大风等达不到适航要求的条件下航行的;非客运船舶载客的;不具备驾驶资格的人员驾驶船舶的处罚</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2F0FD0CC">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河南省水路交通管理办法》（河南省人民政府令2011年第138号）第三十七条：“违反本办法规定,有下列行为之一的,由交通运输执法人员按照规定采取相应的强制措施,及时纠正违法行为,消除安全隐患;对船舶经营人或者所有人由县级以上交通运输行政主管部门处以2000元以上10000元以下的罚款:</w:t>
            </w:r>
          </w:p>
          <w:p w14:paraId="4B54C806">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(一)夜航或者在浓雾、暴雨、大风等达不到适航要求的条件下航行的;</w:t>
            </w:r>
          </w:p>
          <w:p w14:paraId="5832F084">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b w:val="0"/>
                <w:bCs w:val="0"/>
                <w:color w:val="auto"/>
                <w:sz w:val="20"/>
                <w:szCs w:val="20"/>
                <w:highlight w:val="none"/>
                <w:u w:val="none"/>
                <w:shd w:val="clear" w:color="auto" w:fill="auto"/>
                <w:lang w:val="en-US" w:eastAsia="zh-CN"/>
              </w:rPr>
            </w:pPr>
            <w:r>
              <w:rPr>
                <w:rFonts w:hint="eastAsia" w:ascii="宋体" w:hAnsi="宋体" w:eastAsia="宋体" w:cs="宋体"/>
                <w:b w:val="0"/>
                <w:bCs w:val="0"/>
                <w:color w:val="auto"/>
                <w:sz w:val="20"/>
                <w:szCs w:val="20"/>
                <w:highlight w:val="none"/>
                <w:u w:val="none"/>
                <w:shd w:val="clear" w:color="auto" w:fill="auto"/>
                <w:lang w:val="en-US" w:eastAsia="zh-CN"/>
              </w:rPr>
              <w:t>(二)非客运船舶载客的;</w:t>
            </w:r>
          </w:p>
          <w:p w14:paraId="0CBFB49A">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b w:val="0"/>
                <w:bCs w:val="0"/>
                <w:color w:val="auto"/>
                <w:sz w:val="20"/>
                <w:szCs w:val="20"/>
                <w:highlight w:val="none"/>
                <w:u w:val="none"/>
                <w:shd w:val="clear" w:color="auto" w:fill="auto"/>
                <w:lang w:val="en-US" w:eastAsia="zh-CN"/>
              </w:rPr>
              <w:t>(三)不具备驾驶资格的人员驾驶船舶的。”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3A31F7DA">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D4E03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C4E34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A39C0E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F4801F4">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1D47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2CDB461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740266C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749D7CB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B53C23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4C9F6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F6008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5D769F9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C8510B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5AA5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A00614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EE1D86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3E022F8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E93F31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E7DA8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77969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63EB158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1A9A72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06C7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0F658AF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0AD820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0BD15C2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12A6C79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1587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87D6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B936E7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CA22D3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642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908A3B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EDF412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调整情况：取消</w:t>
            </w:r>
          </w:p>
        </w:tc>
      </w:tr>
      <w:tr w14:paraId="19CE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B1E53A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1F615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调整原因：根据市交通运输局权责清单动态调整，</w:t>
            </w:r>
            <w:r>
              <w:rPr>
                <w:rFonts w:hint="eastAsia" w:ascii="宋体" w:hAnsi="宋体" w:eastAsia="宋体" w:cs="宋体"/>
                <w:color w:val="auto"/>
                <w:sz w:val="20"/>
                <w:szCs w:val="20"/>
                <w:highlight w:val="none"/>
                <w:shd w:val="clear" w:color="auto" w:fill="auto"/>
                <w:lang w:val="en-US" w:eastAsia="zh-CN"/>
              </w:rPr>
              <w:t>辖区未开展水路运输业务无处罚对象。</w:t>
            </w:r>
          </w:p>
        </w:tc>
      </w:tr>
    </w:tbl>
    <w:p w14:paraId="2CF897D7">
      <w:pPr>
        <w:rPr>
          <w:color w:val="auto"/>
        </w:rPr>
      </w:pPr>
    </w:p>
    <w:p w14:paraId="69915B73">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5A8E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3F32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1C87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5334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4F17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14E3B6DB">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17C720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94A906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94468A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CBAFFD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0E74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5DBD2F">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default"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13</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968FC9E">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船员在船工作期间未携带规定的有效证件的处罚</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3BFA29DC">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中华人民共和国船员条例》（2020年3月27日国务院令第726号）第五十一条：”违反本条例的规定，船员在船工作期间未携带本条例规定的有效证件的，由海事管理机构责令改正，可以处2000元以下罚款。”</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78A1622F">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9EECA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F06B3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06718B9">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A9F2F03">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717F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644D33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29B3E1A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4BADDB9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3C6A01E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7DDFF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2C056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DE8DBB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0048013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6195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FF904F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6B9772A">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40E301C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0CE85A3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B7A9CC">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915DA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28E45E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5D76A7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31F4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964EC6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3CBF7122">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3E6B0CB6">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B4FD70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DC44D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15E118">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B6FB60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493CC9C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D9A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B3CA39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AA4A9C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调整情况：取消</w:t>
            </w:r>
          </w:p>
        </w:tc>
      </w:tr>
      <w:tr w14:paraId="3246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F65448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13DCA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调整原因：根据市交通运输局权责清单动态调整，</w:t>
            </w:r>
            <w:r>
              <w:rPr>
                <w:rFonts w:hint="eastAsia" w:ascii="宋体" w:hAnsi="宋体" w:eastAsia="宋体" w:cs="宋体"/>
                <w:color w:val="auto"/>
                <w:sz w:val="20"/>
                <w:szCs w:val="20"/>
                <w:highlight w:val="none"/>
                <w:shd w:val="clear" w:color="auto" w:fill="auto"/>
                <w:lang w:val="en-US" w:eastAsia="zh-CN"/>
              </w:rPr>
              <w:t>辖区未开展水路运输业务无处罚对象。</w:t>
            </w:r>
          </w:p>
        </w:tc>
      </w:tr>
    </w:tbl>
    <w:p w14:paraId="441BCA36">
      <w:pPr>
        <w:rPr>
          <w:color w:val="auto"/>
        </w:rPr>
      </w:pPr>
    </w:p>
    <w:p w14:paraId="5358FE67">
      <w:pPr>
        <w:rPr>
          <w:color w:val="auto"/>
        </w:rPr>
      </w:pPr>
    </w:p>
    <w:tbl>
      <w:tblPr>
        <w:tblStyle w:val="3"/>
        <w:tblW w:w="15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4"/>
        <w:gridCol w:w="1847"/>
        <w:gridCol w:w="3300"/>
        <w:gridCol w:w="1059"/>
        <w:gridCol w:w="1485"/>
        <w:gridCol w:w="3323"/>
        <w:gridCol w:w="1646"/>
        <w:gridCol w:w="1646"/>
      </w:tblGrid>
      <w:tr w14:paraId="67CE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03CC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r>
              <w:rPr>
                <w:rFonts w:hint="eastAsia" w:ascii="宋体" w:hAnsi="宋体" w:eastAsia="宋体" w:cs="宋体"/>
                <w:b/>
                <w:bCs/>
                <w:i w:val="0"/>
                <w:color w:val="auto"/>
                <w:kern w:val="0"/>
                <w:sz w:val="20"/>
                <w:szCs w:val="20"/>
                <w:highlight w:val="none"/>
                <w:u w:val="none"/>
                <w:shd w:val="clear" w:color="auto" w:fill="auto"/>
                <w:lang w:val="en-US" w:eastAsia="zh-CN"/>
              </w:rPr>
              <w:t>序号</w:t>
            </w:r>
          </w:p>
        </w:tc>
        <w:tc>
          <w:tcPr>
            <w:tcW w:w="18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8682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项目名称</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A153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实施依据</w:t>
            </w:r>
          </w:p>
        </w:tc>
        <w:tc>
          <w:tcPr>
            <w:tcW w:w="1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DB4B9">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职权</w:t>
            </w:r>
          </w:p>
          <w:p w14:paraId="3412D6A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类别</w:t>
            </w:r>
          </w:p>
        </w:tc>
        <w:tc>
          <w:tcPr>
            <w:tcW w:w="14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810683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办理环节</w:t>
            </w:r>
          </w:p>
        </w:tc>
        <w:tc>
          <w:tcPr>
            <w:tcW w:w="332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DBE806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责任事项</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484F5C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kern w:val="0"/>
                <w:sz w:val="20"/>
                <w:szCs w:val="20"/>
                <w:highlight w:val="none"/>
                <w:u w:val="none"/>
                <w:shd w:val="clear" w:color="auto" w:fill="auto"/>
                <w:lang w:val="en-US" w:eastAsia="zh-CN"/>
              </w:rPr>
            </w:pPr>
            <w:r>
              <w:rPr>
                <w:rFonts w:hint="eastAsia" w:ascii="宋体" w:hAnsi="宋体" w:eastAsia="宋体" w:cs="宋体"/>
                <w:b/>
                <w:bCs/>
                <w:i w:val="0"/>
                <w:color w:val="auto"/>
                <w:kern w:val="0"/>
                <w:sz w:val="20"/>
                <w:szCs w:val="20"/>
                <w:highlight w:val="none"/>
                <w:u w:val="none"/>
                <w:shd w:val="clear" w:color="auto" w:fill="auto"/>
                <w:lang w:val="en-US" w:eastAsia="zh-CN"/>
              </w:rPr>
              <w:t>追责情形</w:t>
            </w:r>
          </w:p>
        </w:tc>
        <w:tc>
          <w:tcPr>
            <w:tcW w:w="16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BB1234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eastAsia="宋体" w:cs="宋体"/>
                <w:b/>
                <w:bCs/>
                <w:i w:val="0"/>
                <w:color w:val="auto"/>
                <w:sz w:val="20"/>
                <w:szCs w:val="20"/>
                <w:highlight w:val="none"/>
                <w:u w:val="none"/>
                <w:shd w:val="clear" w:color="auto" w:fill="auto"/>
              </w:rPr>
            </w:pPr>
            <w:r>
              <w:rPr>
                <w:rFonts w:hint="eastAsia" w:ascii="宋体" w:hAnsi="宋体" w:eastAsia="宋体" w:cs="宋体"/>
                <w:b/>
                <w:bCs/>
                <w:i w:val="0"/>
                <w:color w:val="auto"/>
                <w:kern w:val="0"/>
                <w:sz w:val="20"/>
                <w:szCs w:val="20"/>
                <w:highlight w:val="none"/>
                <w:u w:val="none"/>
                <w:shd w:val="clear" w:color="auto" w:fill="auto"/>
                <w:lang w:val="en-US" w:eastAsia="zh-CN"/>
              </w:rPr>
              <w:t>责任科室</w:t>
            </w:r>
          </w:p>
        </w:tc>
      </w:tr>
      <w:tr w14:paraId="66B0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1" w:hRule="atLeast"/>
          <w:jc w:val="center"/>
        </w:trPr>
        <w:tc>
          <w:tcPr>
            <w:tcW w:w="11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935FB9">
            <w:pPr>
              <w:keepNext w:val="0"/>
              <w:keepLines w:val="0"/>
              <w:pageBreakBefore w:val="0"/>
              <w:kinsoku/>
              <w:wordWrap/>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default"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i w:val="0"/>
                <w:caps w:val="0"/>
                <w:color w:val="auto"/>
                <w:spacing w:val="0"/>
                <w:sz w:val="20"/>
                <w:szCs w:val="20"/>
                <w:highlight w:val="none"/>
                <w:shd w:val="clear" w:color="auto" w:fill="auto"/>
                <w:lang w:val="en-US" w:eastAsia="zh-CN"/>
              </w:rPr>
              <w:t>14</w:t>
            </w:r>
          </w:p>
        </w:tc>
        <w:tc>
          <w:tcPr>
            <w:tcW w:w="18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5EAFDD">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i w:val="0"/>
                <w:caps w:val="0"/>
                <w:color w:val="auto"/>
                <w:spacing w:val="0"/>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对经营港口理货业务备案的行政处罚</w:t>
            </w:r>
          </w:p>
        </w:tc>
        <w:tc>
          <w:tcPr>
            <w:tcW w:w="3300" w:type="dxa"/>
            <w:vMerge w:val="restart"/>
            <w:tcBorders>
              <w:top w:val="single" w:color="000000" w:sz="4" w:space="0"/>
              <w:left w:val="single" w:color="000000" w:sz="4" w:space="0"/>
              <w:right w:val="nil"/>
            </w:tcBorders>
            <w:tcMar>
              <w:top w:w="15" w:type="dxa"/>
              <w:left w:w="15" w:type="dxa"/>
              <w:right w:w="15" w:type="dxa"/>
            </w:tcMar>
            <w:vAlign w:val="center"/>
          </w:tcPr>
          <w:p w14:paraId="23B911E2">
            <w:pPr>
              <w:keepNext w:val="0"/>
              <w:keepLines w:val="0"/>
              <w:pageBreakBefore w:val="0"/>
              <w:widowControl/>
              <w:suppressLineNumbers w:val="0"/>
              <w:kinsoku/>
              <w:wordWrap/>
              <w:topLinePunct w:val="0"/>
              <w:autoSpaceDE/>
              <w:autoSpaceDN/>
              <w:bidi w:val="0"/>
              <w:adjustRightInd/>
              <w:snapToGrid/>
              <w:spacing w:before="0" w:beforeLines="0" w:after="0" w:afterLines="0" w:line="240" w:lineRule="auto"/>
              <w:ind w:left="0" w:leftChars="0" w:right="0" w:rightChars="0" w:firstLine="0" w:firstLineChars="0"/>
              <w:jc w:val="both"/>
              <w:textAlignment w:val="center"/>
              <w:outlineLvl w:val="9"/>
              <w:rPr>
                <w:rFonts w:hint="eastAsia" w:ascii="宋体" w:hAnsi="宋体" w:eastAsia="宋体" w:cs="宋体"/>
                <w:i w:val="0"/>
                <w:caps w:val="0"/>
                <w:color w:val="auto"/>
                <w:spacing w:val="0"/>
                <w:sz w:val="20"/>
                <w:szCs w:val="20"/>
                <w:highlight w:val="none"/>
                <w:shd w:val="clear" w:color="auto" w:fill="auto"/>
              </w:rPr>
            </w:pPr>
            <w:r>
              <w:rPr>
                <w:rFonts w:hint="eastAsia" w:ascii="宋体" w:hAnsi="宋体" w:eastAsia="宋体" w:cs="宋体"/>
                <w:color w:val="auto"/>
                <w:sz w:val="20"/>
                <w:szCs w:val="20"/>
                <w:highlight w:val="none"/>
                <w:shd w:val="clear" w:color="auto" w:fill="auto"/>
              </w:rPr>
              <w:t>中华人民共和国港口法》（2018年12月29日主席令第23号）第四十八条第二项：“ 有下列行为之一的，由港口行政管理部门责令停止违法经营，没收违法所得；违法所得十万元以上的，并处违法所得二倍以上五倍以下罚款；违法所得不足十万元的，处五万元以上二十万元以下罚款：……（二）未经依法许可，经营港口理货业务的。”</w:t>
            </w:r>
          </w:p>
        </w:tc>
        <w:tc>
          <w:tcPr>
            <w:tcW w:w="1059" w:type="dxa"/>
            <w:vMerge w:val="restart"/>
            <w:tcBorders>
              <w:top w:val="single" w:color="000000" w:sz="4" w:space="0"/>
              <w:left w:val="single" w:color="000000" w:sz="4" w:space="0"/>
              <w:right w:val="single" w:color="auto" w:sz="4" w:space="0"/>
            </w:tcBorders>
            <w:tcMar>
              <w:top w:w="15" w:type="dxa"/>
              <w:left w:w="15" w:type="dxa"/>
              <w:right w:w="15" w:type="dxa"/>
            </w:tcMar>
            <w:vAlign w:val="center"/>
          </w:tcPr>
          <w:p w14:paraId="1076D1F9">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aps w:val="0"/>
                <w:color w:val="auto"/>
                <w:spacing w:val="0"/>
                <w:sz w:val="20"/>
                <w:szCs w:val="20"/>
                <w:highlight w:val="none"/>
                <w:shd w:val="clear" w:color="auto" w:fill="auto"/>
                <w:lang w:val="en-US" w:eastAsia="zh-CN"/>
              </w:rPr>
            </w:pPr>
            <w:r>
              <w:rPr>
                <w:rFonts w:hint="eastAsia" w:ascii="宋体" w:hAnsi="宋体" w:eastAsia="宋体" w:cs="宋体"/>
                <w:b w:val="0"/>
                <w:bCs w:val="0"/>
                <w:color w:val="auto"/>
                <w:sz w:val="20"/>
                <w:szCs w:val="20"/>
                <w:highlight w:val="none"/>
                <w:shd w:val="clear" w:color="auto" w:fill="auto"/>
                <w:lang w:eastAsia="zh-CN"/>
              </w:rPr>
              <w:t>行政处罚</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8E23E3">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FE2B6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2212F8B">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64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DA2D3D5">
            <w:pPr>
              <w:keepNext w:val="0"/>
              <w:keepLines w:val="0"/>
              <w:pageBreakBefore w:val="0"/>
              <w:shd w:val="clear"/>
              <w:kinsoku/>
              <w:wordWrap/>
              <w:overflowPunct/>
              <w:topLinePunct w:val="0"/>
              <w:autoSpaceDE/>
              <w:autoSpaceDN/>
              <w:bidi w:val="0"/>
              <w:adjustRightInd/>
              <w:spacing w:line="240" w:lineRule="auto"/>
              <w:ind w:firstLine="0" w:firstLineChars="0"/>
              <w:jc w:val="center"/>
              <w:rPr>
                <w:rFonts w:hint="eastAsia" w:ascii="宋体" w:hAnsi="宋体" w:eastAsia="宋体" w:cs="宋体"/>
                <w:i w:val="0"/>
                <w:caps w:val="0"/>
                <w:color w:val="auto"/>
                <w:spacing w:val="0"/>
                <w:sz w:val="20"/>
                <w:szCs w:val="20"/>
                <w:highlight w:val="none"/>
                <w:shd w:val="clear" w:color="auto" w:fill="auto"/>
                <w:lang w:val="en-US" w:eastAsia="zh-CN"/>
              </w:rPr>
            </w:pPr>
          </w:p>
        </w:tc>
      </w:tr>
      <w:tr w14:paraId="4EB3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72F3213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66C229C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3300" w:type="dxa"/>
            <w:vMerge w:val="continue"/>
            <w:tcBorders>
              <w:left w:val="single" w:color="000000" w:sz="4" w:space="0"/>
              <w:right w:val="nil"/>
            </w:tcBorders>
            <w:tcMar>
              <w:top w:w="15" w:type="dxa"/>
              <w:left w:w="15" w:type="dxa"/>
              <w:right w:w="15" w:type="dxa"/>
            </w:tcMar>
            <w:vAlign w:val="center"/>
          </w:tcPr>
          <w:p w14:paraId="0236FC8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4DE63837">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sz w:val="20"/>
                <w:szCs w:val="20"/>
                <w:highlight w:val="none"/>
                <w:shd w:val="clear" w:color="auto" w:fill="auto"/>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1E250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10DD3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2871230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7CE4751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269D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5B0C168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0BD8DF61">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54ED382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2C3B139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469FE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FF0EC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C7D19A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4C2E06E">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1D22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3CFEEE4D">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847" w:type="dxa"/>
            <w:vMerge w:val="continue"/>
            <w:tcBorders>
              <w:left w:val="single" w:color="000000" w:sz="4" w:space="0"/>
              <w:right w:val="single" w:color="000000" w:sz="4" w:space="0"/>
            </w:tcBorders>
            <w:tcMar>
              <w:top w:w="15" w:type="dxa"/>
              <w:left w:w="15" w:type="dxa"/>
              <w:right w:w="15" w:type="dxa"/>
            </w:tcMar>
            <w:vAlign w:val="center"/>
          </w:tcPr>
          <w:p w14:paraId="4CBAA6BB">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3300" w:type="dxa"/>
            <w:vMerge w:val="continue"/>
            <w:tcBorders>
              <w:left w:val="single" w:color="000000" w:sz="4" w:space="0"/>
              <w:right w:val="nil"/>
            </w:tcBorders>
            <w:tcMar>
              <w:top w:w="15" w:type="dxa"/>
              <w:left w:w="15" w:type="dxa"/>
              <w:right w:w="15" w:type="dxa"/>
            </w:tcMar>
            <w:vAlign w:val="center"/>
          </w:tcPr>
          <w:p w14:paraId="775D4F1F">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059" w:type="dxa"/>
            <w:vMerge w:val="continue"/>
            <w:tcBorders>
              <w:left w:val="single" w:color="000000" w:sz="4" w:space="0"/>
              <w:right w:val="single" w:color="auto" w:sz="4" w:space="0"/>
            </w:tcBorders>
            <w:tcMar>
              <w:top w:w="15" w:type="dxa"/>
              <w:left w:w="15" w:type="dxa"/>
              <w:right w:w="15" w:type="dxa"/>
            </w:tcMar>
            <w:vAlign w:val="center"/>
          </w:tcPr>
          <w:p w14:paraId="576F9CB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C7020">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33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FF83F5">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left"/>
              <w:textAlignment w:val="center"/>
              <w:outlineLvl w:val="9"/>
              <w:rPr>
                <w:rFonts w:hint="eastAsia" w:ascii="宋体" w:hAnsi="宋体" w:eastAsia="宋体" w:cs="宋体"/>
                <w:b w:val="0"/>
                <w:bCs w:val="0"/>
                <w:color w:val="auto"/>
                <w:kern w:val="2"/>
                <w:sz w:val="20"/>
                <w:szCs w:val="20"/>
                <w:highlight w:val="none"/>
                <w:shd w:val="clear" w:color="auto" w:fill="auto"/>
                <w:lang w:val="en-US" w:eastAsia="zh-CN" w:bidi="ar-SA"/>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14EFB819">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c>
          <w:tcPr>
            <w:tcW w:w="1646" w:type="dxa"/>
            <w:vMerge w:val="continue"/>
            <w:tcBorders>
              <w:left w:val="single" w:color="auto" w:sz="4" w:space="0"/>
              <w:right w:val="single" w:color="auto" w:sz="4" w:space="0"/>
            </w:tcBorders>
            <w:tcMar>
              <w:top w:w="15" w:type="dxa"/>
              <w:left w:w="15" w:type="dxa"/>
              <w:right w:w="15" w:type="dxa"/>
            </w:tcMar>
            <w:vAlign w:val="center"/>
          </w:tcPr>
          <w:p w14:paraId="3DCCA744">
            <w:pPr>
              <w:keepNext w:val="0"/>
              <w:keepLines w:val="0"/>
              <w:pageBreakBefore w:val="0"/>
              <w:widowControl/>
              <w:kinsoku/>
              <w:wordWrap/>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color w:val="auto"/>
                <w:kern w:val="0"/>
                <w:sz w:val="20"/>
                <w:szCs w:val="20"/>
                <w:highlight w:val="none"/>
                <w:shd w:val="clear" w:color="auto" w:fill="auto"/>
                <w:lang w:val="en-US" w:eastAsia="zh-CN"/>
              </w:rPr>
            </w:pPr>
          </w:p>
        </w:tc>
      </w:tr>
      <w:tr w14:paraId="74E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right w:val="single" w:color="000000" w:sz="4" w:space="0"/>
            </w:tcBorders>
            <w:tcMar>
              <w:top w:w="15" w:type="dxa"/>
              <w:left w:w="15" w:type="dxa"/>
              <w:right w:w="15" w:type="dxa"/>
            </w:tcMar>
            <w:vAlign w:val="center"/>
          </w:tcPr>
          <w:p w14:paraId="622D2C8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64FB2E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调整情况：取消</w:t>
            </w:r>
          </w:p>
        </w:tc>
      </w:tr>
      <w:tr w14:paraId="38C4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14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9F7E87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i w:val="0"/>
                <w:caps w:val="0"/>
                <w:color w:val="auto"/>
                <w:spacing w:val="0"/>
                <w:sz w:val="20"/>
                <w:szCs w:val="20"/>
                <w:highlight w:val="none"/>
                <w:shd w:val="clear" w:color="auto" w:fill="auto"/>
                <w:lang w:val="en-US" w:eastAsia="zh-CN"/>
              </w:rPr>
            </w:pPr>
          </w:p>
        </w:tc>
        <w:tc>
          <w:tcPr>
            <w:tcW w:w="14306"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8C9BE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调整原因：根据市交通运输局权责清单动态调整，</w:t>
            </w:r>
            <w:r>
              <w:rPr>
                <w:rFonts w:hint="eastAsia" w:ascii="宋体" w:hAnsi="宋体" w:eastAsia="宋体" w:cs="宋体"/>
                <w:color w:val="auto"/>
                <w:sz w:val="20"/>
                <w:szCs w:val="20"/>
                <w:highlight w:val="none"/>
                <w:shd w:val="clear" w:color="auto" w:fill="auto"/>
                <w:lang w:val="en-US" w:eastAsia="zh-CN"/>
              </w:rPr>
              <w:t>辖区未开展水路运输业务无处罚对象。</w:t>
            </w:r>
          </w:p>
        </w:tc>
      </w:tr>
    </w:tbl>
    <w:p w14:paraId="1902402C">
      <w:pPr>
        <w:rPr>
          <w:color w:val="auto"/>
        </w:rPr>
      </w:pPr>
    </w:p>
    <w:p w14:paraId="22F58810">
      <w:pPr>
        <w:rPr>
          <w:color w:val="auto"/>
        </w:rPr>
      </w:pPr>
    </w:p>
    <w:tbl>
      <w:tblPr>
        <w:tblStyle w:val="3"/>
        <w:tblpPr w:leftFromText="180" w:rightFromText="180" w:vertAnchor="text" w:horzAnchor="page" w:tblpX="725" w:tblpY="577"/>
        <w:tblOverlap w:val="never"/>
        <w:tblW w:w="1609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60"/>
        <w:gridCol w:w="1523"/>
        <w:gridCol w:w="3927"/>
        <w:gridCol w:w="1212"/>
        <w:gridCol w:w="1025"/>
        <w:gridCol w:w="4750"/>
        <w:gridCol w:w="1929"/>
        <w:gridCol w:w="1272"/>
      </w:tblGrid>
      <w:tr w14:paraId="43747D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tcBorders>
              <w:top w:val="single" w:color="000000" w:sz="6" w:space="0"/>
              <w:left w:val="single" w:color="000000" w:sz="12" w:space="0"/>
              <w:right w:val="single" w:color="000000" w:sz="6" w:space="0"/>
            </w:tcBorders>
            <w:noWrap w:val="0"/>
            <w:tcMar>
              <w:top w:w="15" w:type="dxa"/>
              <w:left w:w="15" w:type="dxa"/>
              <w:bottom w:w="0" w:type="dxa"/>
              <w:right w:w="15" w:type="dxa"/>
            </w:tcMar>
            <w:vAlign w:val="center"/>
          </w:tcPr>
          <w:p w14:paraId="525AC39A">
            <w:pPr>
              <w:ind w:left="0" w:leftChars="0" w:firstLine="0" w:firstLineChars="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序号</w:t>
            </w:r>
          </w:p>
        </w:tc>
        <w:tc>
          <w:tcPr>
            <w:tcW w:w="1523" w:type="dxa"/>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395BA005">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lang w:bidi="ar"/>
              </w:rPr>
            </w:pPr>
            <w:r>
              <w:rPr>
                <w:rFonts w:hint="eastAsia" w:ascii="宋体" w:hAnsi="宋体" w:eastAsia="宋体" w:cs="宋体"/>
                <w:color w:val="auto"/>
                <w:kern w:val="0"/>
                <w:sz w:val="20"/>
                <w:szCs w:val="20"/>
                <w:highlight w:val="none"/>
                <w:shd w:val="clear" w:color="auto" w:fill="auto"/>
                <w:lang w:bidi="ar"/>
              </w:rPr>
              <w:t>项目名称</w:t>
            </w:r>
          </w:p>
        </w:tc>
        <w:tc>
          <w:tcPr>
            <w:tcW w:w="3927" w:type="dxa"/>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454495F4">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lang w:bidi="ar"/>
              </w:rPr>
            </w:pPr>
            <w:r>
              <w:rPr>
                <w:rFonts w:hint="eastAsia" w:ascii="宋体" w:hAnsi="宋体" w:eastAsia="宋体" w:cs="宋体"/>
                <w:color w:val="auto"/>
                <w:kern w:val="0"/>
                <w:sz w:val="20"/>
                <w:szCs w:val="20"/>
                <w:highlight w:val="none"/>
                <w:shd w:val="clear" w:color="auto" w:fill="auto"/>
                <w:lang w:bidi="ar"/>
              </w:rPr>
              <w:t>实施依据</w:t>
            </w:r>
          </w:p>
        </w:tc>
        <w:tc>
          <w:tcPr>
            <w:tcW w:w="1212" w:type="dxa"/>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7121D631">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权职类别</w:t>
            </w: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17407CAC">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lang w:bidi="ar"/>
              </w:rPr>
              <w:t>办理环节</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7F0956E8">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lang w:bidi="ar"/>
              </w:rPr>
              <w:t>责任事项</w:t>
            </w:r>
          </w:p>
        </w:tc>
        <w:tc>
          <w:tcPr>
            <w:tcW w:w="1929" w:type="dxa"/>
            <w:tcBorders>
              <w:top w:val="single" w:color="000000" w:sz="6" w:space="0"/>
              <w:left w:val="single" w:color="000000" w:sz="6" w:space="0"/>
              <w:right w:val="single" w:color="000000" w:sz="12" w:space="0"/>
            </w:tcBorders>
            <w:noWrap w:val="0"/>
            <w:tcMar>
              <w:top w:w="15" w:type="dxa"/>
              <w:left w:w="15" w:type="dxa"/>
              <w:bottom w:w="0" w:type="dxa"/>
              <w:right w:w="15" w:type="dxa"/>
            </w:tcMar>
            <w:vAlign w:val="center"/>
          </w:tcPr>
          <w:p w14:paraId="60F3C360">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lang w:bidi="ar"/>
              </w:rPr>
              <w:t>追责情形</w:t>
            </w:r>
          </w:p>
        </w:tc>
        <w:tc>
          <w:tcPr>
            <w:tcW w:w="1272" w:type="dxa"/>
            <w:tcBorders>
              <w:top w:val="single" w:color="000000" w:sz="6" w:space="0"/>
              <w:left w:val="single" w:color="000000" w:sz="6" w:space="0"/>
              <w:right w:val="single" w:color="000000" w:sz="12" w:space="0"/>
            </w:tcBorders>
            <w:noWrap w:val="0"/>
            <w:tcMar>
              <w:top w:w="15" w:type="dxa"/>
              <w:left w:w="15" w:type="dxa"/>
              <w:bottom w:w="0" w:type="dxa"/>
              <w:right w:w="15" w:type="dxa"/>
            </w:tcMar>
            <w:vAlign w:val="center"/>
          </w:tcPr>
          <w:p w14:paraId="4F18E04F">
            <w:pPr>
              <w:keepNext w:val="0"/>
              <w:keepLines w:val="0"/>
              <w:pageBreakBefore w:val="0"/>
              <w:widowControl w:val="0"/>
              <w:kinsoku/>
              <w:wordWrap/>
              <w:overflowPunct w:val="0"/>
              <w:topLinePunct w:val="0"/>
              <w:autoSpaceDE/>
              <w:autoSpaceDN/>
              <w:bidi w:val="0"/>
              <w:snapToGrid w:val="0"/>
              <w:spacing w:line="240" w:lineRule="auto"/>
              <w:ind w:left="0" w:leftChars="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lang w:bidi="ar"/>
              </w:rPr>
              <w:t>责任处室</w:t>
            </w:r>
          </w:p>
        </w:tc>
      </w:tr>
      <w:tr w14:paraId="5DDB62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vMerge w:val="restart"/>
            <w:tcBorders>
              <w:top w:val="single" w:color="000000" w:sz="6" w:space="0"/>
              <w:left w:val="single" w:color="000000" w:sz="12" w:space="0"/>
              <w:right w:val="single" w:color="000000" w:sz="6" w:space="0"/>
            </w:tcBorders>
            <w:noWrap w:val="0"/>
            <w:tcMar>
              <w:top w:w="15" w:type="dxa"/>
              <w:left w:w="15" w:type="dxa"/>
              <w:bottom w:w="0" w:type="dxa"/>
              <w:right w:w="15" w:type="dxa"/>
            </w:tcMar>
            <w:vAlign w:val="center"/>
          </w:tcPr>
          <w:p w14:paraId="316C8DB8">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15</w:t>
            </w:r>
          </w:p>
        </w:tc>
        <w:tc>
          <w:tcPr>
            <w:tcW w:w="1523" w:type="dxa"/>
            <w:vMerge w:val="restart"/>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4DEAC6BD">
            <w:pPr>
              <w:pStyle w:val="2"/>
              <w:keepNext w:val="0"/>
              <w:keepLines w:val="0"/>
              <w:pageBreakBefore w:val="0"/>
              <w:widowControl w:val="0"/>
              <w:kinsoku/>
              <w:wordWrap/>
              <w:overflowPunct w:val="0"/>
              <w:topLinePunct w:val="0"/>
              <w:autoSpaceDE/>
              <w:autoSpaceDN/>
              <w:bidi w:val="0"/>
              <w:snapToGrid w:val="0"/>
              <w:spacing w:after="0" w:line="240" w:lineRule="auto"/>
              <w:ind w:left="0" w:firstLine="0" w:firstLineChars="0"/>
              <w:rPr>
                <w:rFonts w:hint="eastAsia" w:ascii="宋体" w:hAnsi="宋体" w:eastAsia="宋体" w:cs="宋体"/>
                <w:color w:val="auto"/>
                <w:spacing w:val="-6"/>
                <w:kern w:val="0"/>
                <w:sz w:val="20"/>
                <w:szCs w:val="20"/>
                <w:highlight w:val="none"/>
                <w:shd w:val="clear" w:color="auto" w:fill="auto"/>
                <w:lang w:val="en-US" w:eastAsia="zh-CN" w:bidi="ar-SA"/>
              </w:rPr>
            </w:pPr>
            <w:r>
              <w:rPr>
                <w:rFonts w:hint="eastAsia" w:ascii="宋体" w:hAnsi="宋体" w:eastAsia="宋体" w:cs="宋体"/>
                <w:color w:val="auto"/>
                <w:sz w:val="20"/>
                <w:szCs w:val="20"/>
              </w:rPr>
              <w:t>对从事爆破等危害村道安全</w:t>
            </w:r>
            <w:r>
              <w:rPr>
                <w:rFonts w:hint="eastAsia" w:ascii="宋体" w:hAnsi="宋体" w:eastAsia="宋体" w:cs="宋体"/>
                <w:color w:val="auto"/>
                <w:spacing w:val="10"/>
                <w:sz w:val="20"/>
                <w:szCs w:val="20"/>
              </w:rPr>
              <w:t xml:space="preserve"> </w:t>
            </w:r>
            <w:r>
              <w:rPr>
                <w:rFonts w:hint="eastAsia" w:ascii="宋体" w:hAnsi="宋体" w:eastAsia="宋体" w:cs="宋体"/>
                <w:color w:val="auto"/>
                <w:spacing w:val="6"/>
                <w:sz w:val="20"/>
                <w:szCs w:val="20"/>
              </w:rPr>
              <w:t>作业的处罚</w:t>
            </w:r>
          </w:p>
        </w:tc>
        <w:tc>
          <w:tcPr>
            <w:tcW w:w="3927" w:type="dxa"/>
            <w:vMerge w:val="restart"/>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706D225A">
            <w:pPr>
              <w:pStyle w:val="2"/>
              <w:keepNext w:val="0"/>
              <w:keepLines w:val="0"/>
              <w:pageBreakBefore w:val="0"/>
              <w:widowControl w:val="0"/>
              <w:kinsoku/>
              <w:wordWrap/>
              <w:overflowPunct w:val="0"/>
              <w:topLinePunct w:val="0"/>
              <w:autoSpaceDE/>
              <w:autoSpaceDN/>
              <w:bidi w:val="0"/>
              <w:snapToGrid w:val="0"/>
              <w:spacing w:after="0" w:line="240" w:lineRule="auto"/>
              <w:ind w:left="0" w:firstLine="0" w:firstLineChars="0"/>
              <w:rPr>
                <w:rFonts w:hint="eastAsia" w:ascii="宋体" w:hAnsi="宋体" w:eastAsia="宋体" w:cs="宋体"/>
                <w:color w:val="auto"/>
                <w:sz w:val="20"/>
                <w:szCs w:val="20"/>
              </w:rPr>
            </w:pPr>
            <w:r>
              <w:rPr>
                <w:rFonts w:hint="eastAsia" w:ascii="宋体" w:hAnsi="宋体" w:eastAsia="宋体" w:cs="宋体"/>
                <w:color w:val="auto"/>
                <w:sz w:val="20"/>
                <w:szCs w:val="20"/>
              </w:rPr>
              <w:t>《河南省农村公路条例》第 五十三条</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第二项</w:t>
            </w:r>
            <w:r>
              <w:rPr>
                <w:rFonts w:hint="eastAsia" w:ascii="宋体" w:hAnsi="宋体" w:eastAsia="宋体" w:cs="宋体"/>
                <w:color w:val="auto"/>
                <w:sz w:val="20"/>
                <w:szCs w:val="20"/>
                <w:lang w:eastAsia="zh-CN"/>
              </w:rPr>
              <w:t>）</w:t>
            </w:r>
            <w:bookmarkStart w:id="0" w:name="tiao_53_kuan_1"/>
            <w:bookmarkEnd w:id="0"/>
            <w:r>
              <w:rPr>
                <w:rFonts w:hint="eastAsia" w:ascii="宋体" w:hAnsi="宋体" w:eastAsia="宋体" w:cs="宋体"/>
                <w:color w:val="auto"/>
                <w:sz w:val="20"/>
                <w:szCs w:val="20"/>
                <w:lang w:val="en-US" w:eastAsia="zh-CN"/>
              </w:rPr>
              <w:t>违反本条例规定，有下列行为之一的，由县级交通运输行政主管部门责令停止违法行为，处五百元以上五千元以下的罚款；造成村道损害的，应当限期修复或者予以赔偿：</w:t>
            </w:r>
          </w:p>
          <w:p w14:paraId="27B4BA31">
            <w:pPr>
              <w:pStyle w:val="2"/>
              <w:keepNext w:val="0"/>
              <w:keepLines w:val="0"/>
              <w:pageBreakBefore w:val="0"/>
              <w:widowControl w:val="0"/>
              <w:kinsoku/>
              <w:wordWrap/>
              <w:overflowPunct w:val="0"/>
              <w:topLinePunct w:val="0"/>
              <w:autoSpaceDE/>
              <w:autoSpaceDN/>
              <w:bidi w:val="0"/>
              <w:snapToGrid w:val="0"/>
              <w:spacing w:after="0" w:line="240" w:lineRule="auto"/>
              <w:ind w:left="0" w:firstLine="0" w:firstLineChars="0"/>
              <w:jc w:val="both"/>
              <w:rPr>
                <w:rFonts w:hint="eastAsia" w:ascii="宋体" w:hAnsi="宋体" w:eastAsia="宋体" w:cs="宋体"/>
                <w:color w:val="auto"/>
                <w:sz w:val="20"/>
                <w:szCs w:val="20"/>
              </w:rPr>
            </w:pPr>
            <w:bookmarkStart w:id="1" w:name="tiao_53_kuan_1_xiang_1"/>
            <w:bookmarkEnd w:id="1"/>
            <w:r>
              <w:rPr>
                <w:rFonts w:hint="eastAsia" w:ascii="宋体" w:hAnsi="宋体" w:eastAsia="宋体" w:cs="宋体"/>
                <w:color w:val="auto"/>
                <w:sz w:val="20"/>
                <w:szCs w:val="20"/>
                <w:lang w:val="en-US" w:eastAsia="zh-CN"/>
              </w:rPr>
              <w:t>　（一）擅自占用、挖掘村道的；</w:t>
            </w:r>
          </w:p>
          <w:p w14:paraId="55B31A3E">
            <w:pPr>
              <w:pStyle w:val="2"/>
              <w:keepNext w:val="0"/>
              <w:keepLines w:val="0"/>
              <w:pageBreakBefore w:val="0"/>
              <w:widowControl w:val="0"/>
              <w:kinsoku/>
              <w:wordWrap/>
              <w:overflowPunct w:val="0"/>
              <w:topLinePunct w:val="0"/>
              <w:autoSpaceDE/>
              <w:autoSpaceDN/>
              <w:bidi w:val="0"/>
              <w:snapToGrid w:val="0"/>
              <w:spacing w:after="0" w:line="240" w:lineRule="auto"/>
              <w:ind w:left="0" w:firstLine="0" w:firstLineChars="0"/>
              <w:jc w:val="both"/>
              <w:rPr>
                <w:rFonts w:hint="eastAsia" w:ascii="宋体" w:hAnsi="宋体" w:eastAsia="宋体" w:cs="宋体"/>
                <w:color w:val="auto"/>
                <w:spacing w:val="-6"/>
                <w:kern w:val="0"/>
                <w:sz w:val="20"/>
                <w:szCs w:val="20"/>
                <w:highlight w:val="none"/>
                <w:shd w:val="clear" w:color="auto" w:fill="auto"/>
                <w:lang w:val="en-US" w:eastAsia="zh-CN" w:bidi="ar-SA"/>
              </w:rPr>
            </w:pPr>
            <w:bookmarkStart w:id="2" w:name="tiao_53_kuan_1_xiang_2"/>
            <w:bookmarkEnd w:id="2"/>
            <w:r>
              <w:rPr>
                <w:rFonts w:hint="eastAsia" w:ascii="宋体" w:hAnsi="宋体" w:eastAsia="宋体" w:cs="宋体"/>
                <w:color w:val="auto"/>
                <w:sz w:val="20"/>
                <w:szCs w:val="20"/>
                <w:lang w:val="en-US" w:eastAsia="zh-CN"/>
              </w:rPr>
              <w:t>　（二）从事爆破等危害村道安全作业的；</w:t>
            </w:r>
          </w:p>
        </w:tc>
        <w:tc>
          <w:tcPr>
            <w:tcW w:w="1212" w:type="dxa"/>
            <w:vMerge w:val="restart"/>
            <w:tcBorders>
              <w:top w:val="single" w:color="000000" w:sz="6" w:space="0"/>
              <w:left w:val="single" w:color="000000" w:sz="6" w:space="0"/>
              <w:right w:val="single" w:color="000000" w:sz="6" w:space="0"/>
            </w:tcBorders>
            <w:noWrap w:val="0"/>
            <w:tcMar>
              <w:top w:w="15" w:type="dxa"/>
              <w:left w:w="15" w:type="dxa"/>
              <w:bottom w:w="0" w:type="dxa"/>
              <w:right w:w="15" w:type="dxa"/>
            </w:tcMar>
            <w:vAlign w:val="center"/>
          </w:tcPr>
          <w:p w14:paraId="1E9C99E9">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行政处罚</w:t>
            </w: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3ADA6C3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立案</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5AE6AEEC">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1.</w:t>
            </w:r>
            <w:r>
              <w:rPr>
                <w:rFonts w:hint="eastAsia" w:ascii="宋体" w:hAnsi="宋体" w:eastAsia="宋体" w:cs="宋体"/>
                <w:color w:val="auto"/>
                <w:kern w:val="0"/>
                <w:sz w:val="20"/>
                <w:szCs w:val="20"/>
                <w:highlight w:val="none"/>
                <w:shd w:val="clear" w:color="auto" w:fill="auto"/>
              </w:rPr>
              <w:t>立案责任：检查中发现或者接到举报投诉的违法行为、有关部门移送的此</w:t>
            </w:r>
            <w:r>
              <w:rPr>
                <w:rFonts w:hint="eastAsia" w:ascii="宋体" w:hAnsi="宋体" w:eastAsia="宋体" w:cs="宋体"/>
                <w:color w:val="auto"/>
                <w:kern w:val="0"/>
                <w:sz w:val="20"/>
                <w:szCs w:val="20"/>
                <w:highlight w:val="none"/>
                <w:shd w:val="clear" w:color="auto" w:fill="auto"/>
                <w:lang w:eastAsia="zh-CN"/>
              </w:rPr>
              <w:t>类型</w:t>
            </w:r>
            <w:r>
              <w:rPr>
                <w:rFonts w:hint="eastAsia" w:ascii="宋体" w:hAnsi="宋体" w:eastAsia="宋体" w:cs="宋体"/>
                <w:color w:val="auto"/>
                <w:kern w:val="0"/>
                <w:sz w:val="20"/>
                <w:szCs w:val="20"/>
                <w:highlight w:val="none"/>
                <w:shd w:val="clear" w:color="auto" w:fill="auto"/>
              </w:rPr>
              <w:t>违法案件，予以审查，决定是否立案。</w:t>
            </w:r>
          </w:p>
        </w:tc>
        <w:tc>
          <w:tcPr>
            <w:tcW w:w="1929" w:type="dxa"/>
            <w:vMerge w:val="restart"/>
            <w:tcBorders>
              <w:top w:val="single" w:color="000000" w:sz="6" w:space="0"/>
              <w:left w:val="single" w:color="000000" w:sz="6" w:space="0"/>
              <w:right w:val="single" w:color="000000" w:sz="12" w:space="0"/>
            </w:tcBorders>
            <w:noWrap w:val="0"/>
            <w:tcMar>
              <w:top w:w="15" w:type="dxa"/>
              <w:left w:w="15" w:type="dxa"/>
              <w:bottom w:w="0" w:type="dxa"/>
              <w:right w:w="15" w:type="dxa"/>
            </w:tcMar>
            <w:vAlign w:val="center"/>
          </w:tcPr>
          <w:p w14:paraId="67B06A7A">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河南省行政执法过错责任追究办法》（河南省人民政府令2018年第187号）第八条：“行政执法机关及行政执法人员在行政处罚、行政许可、行政强制、行政征收等行政执法过程中，有下列行为之一的，应当追究行政执法过错责任：（一）无法定依据、法定职权的；（二）超越、滥用法定职权的；（三）违反法定程序的；（四）主要事实认定不清、证据不足的；（五）适用依据错误的；（六）行政执法行为明显不当的；（七）不履行法定职责，造成危害后果的；（八）其他违法或者不当履行行政执法职责的。”</w:t>
            </w:r>
          </w:p>
        </w:tc>
        <w:tc>
          <w:tcPr>
            <w:tcW w:w="1272" w:type="dxa"/>
            <w:vMerge w:val="restart"/>
            <w:tcBorders>
              <w:top w:val="single" w:color="000000" w:sz="6" w:space="0"/>
              <w:left w:val="single" w:color="000000" w:sz="6" w:space="0"/>
              <w:right w:val="single" w:color="000000" w:sz="12" w:space="0"/>
            </w:tcBorders>
            <w:noWrap w:val="0"/>
            <w:tcMar>
              <w:top w:w="15" w:type="dxa"/>
              <w:left w:w="15" w:type="dxa"/>
              <w:bottom w:w="0" w:type="dxa"/>
              <w:right w:w="15" w:type="dxa"/>
            </w:tcMar>
            <w:vAlign w:val="center"/>
          </w:tcPr>
          <w:p w14:paraId="7A1F14DF">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b w:val="0"/>
                <w:i w:val="0"/>
                <w:color w:val="auto"/>
                <w:sz w:val="20"/>
                <w:szCs w:val="20"/>
                <w:highlight w:val="none"/>
                <w:u w:val="none"/>
                <w:shd w:val="clear" w:color="auto" w:fill="auto"/>
                <w:lang w:eastAsia="zh-CN"/>
              </w:rPr>
              <w:t>社旗县交通运输综合行政执法大队</w:t>
            </w:r>
          </w:p>
        </w:tc>
      </w:tr>
      <w:tr w14:paraId="05C75F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85" w:hRule="atLeast"/>
        </w:trPr>
        <w:tc>
          <w:tcPr>
            <w:tcW w:w="460" w:type="dxa"/>
            <w:vMerge w:val="continue"/>
            <w:tcBorders>
              <w:left w:val="single" w:color="000000" w:sz="12" w:space="0"/>
              <w:right w:val="single" w:color="000000" w:sz="6" w:space="0"/>
            </w:tcBorders>
            <w:noWrap w:val="0"/>
            <w:vAlign w:val="center"/>
          </w:tcPr>
          <w:p w14:paraId="61BB78EB">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6B3FE1C8">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4A5DC2B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1B5FB237">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6CEDE73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调查</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5C2224B1">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2</w:t>
            </w:r>
            <w:r>
              <w:rPr>
                <w:rFonts w:hint="eastAsia" w:ascii="宋体" w:hAnsi="宋体" w:eastAsia="宋体" w:cs="宋体"/>
                <w:color w:val="auto"/>
                <w:kern w:val="0"/>
                <w:sz w:val="20"/>
                <w:szCs w:val="20"/>
                <w:highlight w:val="none"/>
                <w:shd w:val="clear" w:color="auto" w:fill="auto"/>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4B7D6E8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7EBD2402">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04A7AC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vMerge w:val="continue"/>
            <w:tcBorders>
              <w:left w:val="single" w:color="000000" w:sz="12" w:space="0"/>
              <w:right w:val="single" w:color="000000" w:sz="6" w:space="0"/>
            </w:tcBorders>
            <w:noWrap w:val="0"/>
            <w:vAlign w:val="center"/>
          </w:tcPr>
          <w:p w14:paraId="778F55F2">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7CD7E76C">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20C47667">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51F245A7">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5CE80BB4">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审查</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754F677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3、</w:t>
            </w:r>
            <w:r>
              <w:rPr>
                <w:rFonts w:hint="eastAsia" w:ascii="宋体" w:hAnsi="宋体" w:eastAsia="宋体" w:cs="宋体"/>
                <w:color w:val="auto"/>
                <w:spacing w:val="-6"/>
                <w:kern w:val="0"/>
                <w:sz w:val="20"/>
                <w:szCs w:val="20"/>
                <w:highlight w:val="none"/>
                <w:shd w:val="clear" w:color="auto" w:fill="auto"/>
              </w:rPr>
              <w:t>审查责任：对案件违法事实、证据、调查取证程序、法律适用、处罚种类和幅度、当事人陈述和申辩理由等方面进行审查，提出处理意见。</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15E2561F">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4006A5D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071AB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460" w:type="dxa"/>
            <w:vMerge w:val="continue"/>
            <w:tcBorders>
              <w:left w:val="single" w:color="000000" w:sz="12" w:space="0"/>
              <w:right w:val="single" w:color="000000" w:sz="6" w:space="0"/>
            </w:tcBorders>
            <w:noWrap w:val="0"/>
            <w:vAlign w:val="center"/>
          </w:tcPr>
          <w:p w14:paraId="4FA27958">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55B05EC6">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405BB388">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334FB44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5D40864F">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告知</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2B5D69BD">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4、</w:t>
            </w:r>
            <w:r>
              <w:rPr>
                <w:rFonts w:hint="eastAsia" w:ascii="宋体" w:hAnsi="宋体" w:eastAsia="宋体" w:cs="宋体"/>
                <w:color w:val="auto"/>
                <w:kern w:val="0"/>
                <w:sz w:val="20"/>
                <w:szCs w:val="20"/>
                <w:highlight w:val="none"/>
                <w:shd w:val="clear" w:color="auto" w:fill="auto"/>
              </w:rPr>
              <w:t>告知责任：在做出行政处罚决定前，书面告知当事人拟作出处罚决定的事实、理由、依据、处罚内容，以及当事人享有的陈述权、申辩权或听证权。</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6CCA6751">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771CC0B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5F33E3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vMerge w:val="continue"/>
            <w:tcBorders>
              <w:left w:val="single" w:color="000000" w:sz="12" w:space="0"/>
              <w:right w:val="single" w:color="000000" w:sz="6" w:space="0"/>
            </w:tcBorders>
            <w:noWrap w:val="0"/>
            <w:vAlign w:val="center"/>
          </w:tcPr>
          <w:p w14:paraId="5F18478A">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375597C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76E5865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46CCFE8C">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1BC4D7B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决定</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1C7F4866">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5、</w:t>
            </w:r>
            <w:r>
              <w:rPr>
                <w:rFonts w:hint="eastAsia" w:ascii="宋体" w:hAnsi="宋体" w:eastAsia="宋体" w:cs="宋体"/>
                <w:color w:val="auto"/>
                <w:kern w:val="0"/>
                <w:sz w:val="20"/>
                <w:szCs w:val="20"/>
                <w:highlight w:val="none"/>
                <w:shd w:val="clear" w:color="auto" w:fill="auto"/>
              </w:rPr>
              <w:t>决定责任：依法需要给予行政处罚的，应制作《行政处罚决定书》，载明违法事实和证据、处罚依据和内容、申请行政复议或提起行政诉讼的途径和期限等内容。</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44ADA32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2E328F4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1C4DED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vMerge w:val="continue"/>
            <w:tcBorders>
              <w:left w:val="single" w:color="000000" w:sz="12" w:space="0"/>
              <w:right w:val="single" w:color="000000" w:sz="6" w:space="0"/>
            </w:tcBorders>
            <w:noWrap w:val="0"/>
            <w:vAlign w:val="center"/>
          </w:tcPr>
          <w:p w14:paraId="326C365C">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31FA644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79CB75F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629A6E20">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4E85E7BB">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送达</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614BC7C2">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6、送达阶段责任：在规定期限内将行政处罚决定书送达当事人。</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7FA0E935">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0296B2D4">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293AD5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60" w:type="dxa"/>
            <w:vMerge w:val="continue"/>
            <w:tcBorders>
              <w:left w:val="single" w:color="000000" w:sz="12" w:space="0"/>
              <w:right w:val="single" w:color="000000" w:sz="6" w:space="0"/>
            </w:tcBorders>
            <w:noWrap w:val="0"/>
            <w:vAlign w:val="center"/>
          </w:tcPr>
          <w:p w14:paraId="3DB4BDCE">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472BCE2E">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2E06CAB1">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29477948">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20631D94">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执行</w:t>
            </w: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76CDAE1E">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7、执行阶段责任：</w:t>
            </w:r>
            <w:r>
              <w:rPr>
                <w:rFonts w:hint="eastAsia" w:ascii="宋体" w:hAnsi="宋体" w:eastAsia="宋体" w:cs="宋体"/>
                <w:color w:val="auto"/>
                <w:kern w:val="0"/>
                <w:sz w:val="20"/>
                <w:szCs w:val="20"/>
                <w:highlight w:val="none"/>
                <w:shd w:val="clear" w:color="auto" w:fill="auto"/>
              </w:rPr>
              <w:t>监督当事人在决定的期限内，履行生效的行政处罚决定。当事人在法定期限内不申请行政复议或提起行政诉讼，又不履行的，可依法采取强制执行或者申请人民法院强制执行。</w:t>
            </w:r>
          </w:p>
        </w:tc>
        <w:tc>
          <w:tcPr>
            <w:tcW w:w="1929"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2EE4E2DE">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272" w:type="dxa"/>
            <w:vMerge w:val="continue"/>
            <w:tcBorders>
              <w:left w:val="single" w:color="000000" w:sz="6" w:space="0"/>
              <w:right w:val="single" w:color="000000" w:sz="12" w:space="0"/>
            </w:tcBorders>
            <w:noWrap w:val="0"/>
            <w:tcMar>
              <w:top w:w="15" w:type="dxa"/>
              <w:left w:w="15" w:type="dxa"/>
              <w:bottom w:w="0" w:type="dxa"/>
              <w:right w:w="15" w:type="dxa"/>
            </w:tcMar>
            <w:vAlign w:val="center"/>
          </w:tcPr>
          <w:p w14:paraId="7830161F">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r>
      <w:tr w14:paraId="40EB15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0" w:type="dxa"/>
            <w:vMerge w:val="continue"/>
            <w:tcBorders>
              <w:left w:val="single" w:color="000000" w:sz="12" w:space="0"/>
              <w:right w:val="single" w:color="000000" w:sz="6" w:space="0"/>
            </w:tcBorders>
            <w:noWrap w:val="0"/>
            <w:vAlign w:val="center"/>
          </w:tcPr>
          <w:p w14:paraId="29A4406C">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23" w:type="dxa"/>
            <w:vMerge w:val="continue"/>
            <w:tcBorders>
              <w:left w:val="single" w:color="000000" w:sz="6" w:space="0"/>
              <w:right w:val="single" w:color="000000" w:sz="6" w:space="0"/>
            </w:tcBorders>
            <w:noWrap w:val="0"/>
            <w:vAlign w:val="center"/>
          </w:tcPr>
          <w:p w14:paraId="26161C32">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3927" w:type="dxa"/>
            <w:vMerge w:val="continue"/>
            <w:tcBorders>
              <w:left w:val="single" w:color="000000" w:sz="6" w:space="0"/>
              <w:right w:val="single" w:color="000000" w:sz="6" w:space="0"/>
            </w:tcBorders>
            <w:noWrap w:val="0"/>
            <w:vAlign w:val="center"/>
          </w:tcPr>
          <w:p w14:paraId="6605E574">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kern w:val="0"/>
                <w:sz w:val="20"/>
                <w:szCs w:val="20"/>
                <w:highlight w:val="none"/>
                <w:shd w:val="clear" w:color="auto" w:fill="auto"/>
                <w:lang w:bidi="ar"/>
              </w:rPr>
            </w:pPr>
          </w:p>
        </w:tc>
        <w:tc>
          <w:tcPr>
            <w:tcW w:w="1212" w:type="dxa"/>
            <w:vMerge w:val="continue"/>
            <w:tcBorders>
              <w:left w:val="single" w:color="000000" w:sz="6" w:space="0"/>
              <w:right w:val="single" w:color="000000" w:sz="6" w:space="0"/>
            </w:tcBorders>
            <w:noWrap w:val="0"/>
            <w:vAlign w:val="center"/>
          </w:tcPr>
          <w:p w14:paraId="2DD2AEDA">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025"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2F2D3E86">
            <w:pPr>
              <w:keepNext w:val="0"/>
              <w:keepLines w:val="0"/>
              <w:pageBreakBefore w:val="0"/>
              <w:widowControl w:val="0"/>
              <w:kinsoku/>
              <w:wordWrap/>
              <w:overflowPunct w:val="0"/>
              <w:topLinePunct w:val="0"/>
              <w:autoSpaceDE/>
              <w:autoSpaceDN/>
              <w:bidi w:val="0"/>
              <w:snapToGrid w:val="0"/>
              <w:spacing w:line="240" w:lineRule="auto"/>
              <w:ind w:left="0" w:firstLine="0" w:firstLineChars="0"/>
              <w:jc w:val="center"/>
              <w:rPr>
                <w:rFonts w:hint="eastAsia" w:ascii="宋体" w:hAnsi="宋体" w:eastAsia="宋体" w:cs="宋体"/>
                <w:color w:val="auto"/>
                <w:kern w:val="0"/>
                <w:sz w:val="20"/>
                <w:szCs w:val="20"/>
                <w:highlight w:val="none"/>
                <w:shd w:val="clear" w:color="auto" w:fill="auto"/>
                <w:lang w:bidi="ar"/>
              </w:rPr>
            </w:pPr>
          </w:p>
        </w:tc>
        <w:tc>
          <w:tcPr>
            <w:tcW w:w="4750" w:type="dxa"/>
            <w:tcBorders>
              <w:top w:val="single" w:color="000000" w:sz="6" w:space="0"/>
              <w:left w:val="single" w:color="000000" w:sz="6" w:space="0"/>
              <w:bottom w:val="single" w:color="000000" w:sz="6" w:space="0"/>
              <w:right w:val="single" w:color="000000" w:sz="6" w:space="0"/>
            </w:tcBorders>
            <w:noWrap w:val="0"/>
            <w:tcMar>
              <w:top w:w="15" w:type="dxa"/>
              <w:left w:w="15" w:type="dxa"/>
              <w:bottom w:w="0" w:type="dxa"/>
              <w:right w:w="15" w:type="dxa"/>
            </w:tcMar>
            <w:vAlign w:val="center"/>
          </w:tcPr>
          <w:p w14:paraId="15A6014E">
            <w:pPr>
              <w:keepNext w:val="0"/>
              <w:keepLines w:val="0"/>
              <w:pageBreakBefore w:val="0"/>
              <w:widowControl w:val="0"/>
              <w:kinsoku/>
              <w:wordWrap/>
              <w:overflowPunct w:val="0"/>
              <w:topLinePunct w:val="0"/>
              <w:autoSpaceDE/>
              <w:autoSpaceDN/>
              <w:bidi w:val="0"/>
              <w:snapToGrid w:val="0"/>
              <w:spacing w:line="240" w:lineRule="auto"/>
              <w:ind w:left="0" w:firstLine="0" w:firstLineChars="0"/>
              <w:rPr>
                <w:rFonts w:hint="eastAsia" w:ascii="宋体" w:hAnsi="宋体" w:eastAsia="宋体" w:cs="宋体"/>
                <w:color w:val="auto"/>
                <w:kern w:val="0"/>
                <w:sz w:val="20"/>
                <w:szCs w:val="20"/>
                <w:highlight w:val="none"/>
                <w:shd w:val="clear" w:color="auto" w:fill="auto"/>
                <w:lang w:bidi="ar"/>
              </w:rPr>
            </w:pPr>
            <w:r>
              <w:rPr>
                <w:rFonts w:hint="eastAsia" w:ascii="宋体" w:hAnsi="宋体" w:eastAsia="宋体" w:cs="宋体"/>
                <w:color w:val="auto"/>
                <w:sz w:val="20"/>
                <w:szCs w:val="20"/>
                <w:highlight w:val="none"/>
                <w:shd w:val="clear" w:color="auto" w:fill="auto"/>
              </w:rPr>
              <w:t>8、其他法律法规规章文件规定履行的责任。</w:t>
            </w:r>
          </w:p>
        </w:tc>
        <w:tc>
          <w:tcPr>
            <w:tcW w:w="3201" w:type="dxa"/>
            <w:gridSpan w:val="2"/>
            <w:tcBorders>
              <w:left w:val="single" w:color="000000" w:sz="6" w:space="0"/>
              <w:right w:val="single" w:color="000000" w:sz="12" w:space="0"/>
            </w:tcBorders>
            <w:noWrap w:val="0"/>
            <w:tcMar>
              <w:top w:w="15" w:type="dxa"/>
              <w:left w:w="15" w:type="dxa"/>
              <w:bottom w:w="0" w:type="dxa"/>
              <w:right w:w="15" w:type="dxa"/>
            </w:tcMar>
            <w:vAlign w:val="center"/>
          </w:tcPr>
          <w:p w14:paraId="7BB1E8ED">
            <w:pPr>
              <w:keepNext w:val="0"/>
              <w:keepLines w:val="0"/>
              <w:pageBreakBefore w:val="0"/>
              <w:widowControl w:val="0"/>
              <w:kinsoku/>
              <w:wordWrap/>
              <w:overflowPunct w:val="0"/>
              <w:topLinePunct w:val="0"/>
              <w:autoSpaceDE/>
              <w:autoSpaceDN/>
              <w:bidi w:val="0"/>
              <w:snapToGrid w:val="0"/>
              <w:spacing w:line="240" w:lineRule="auto"/>
              <w:ind w:left="0" w:firstLine="0" w:firstLineChars="0"/>
              <w:rPr>
                <w:rFonts w:hint="eastAsia" w:ascii="宋体" w:hAnsi="宋体" w:eastAsia="宋体" w:cs="宋体"/>
                <w:color w:val="auto"/>
                <w:sz w:val="20"/>
                <w:szCs w:val="20"/>
                <w:highlight w:val="none"/>
                <w:shd w:val="clear" w:color="auto" w:fill="auto"/>
              </w:rPr>
            </w:pPr>
          </w:p>
        </w:tc>
      </w:tr>
      <w:tr w14:paraId="08C215C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0" w:type="dxa"/>
            <w:vMerge w:val="continue"/>
            <w:tcBorders>
              <w:left w:val="single" w:color="000000" w:sz="12" w:space="0"/>
              <w:right w:val="single" w:color="000000" w:sz="6" w:space="0"/>
            </w:tcBorders>
            <w:noWrap w:val="0"/>
            <w:vAlign w:val="center"/>
          </w:tcPr>
          <w:p w14:paraId="34177E71">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638" w:type="dxa"/>
            <w:gridSpan w:val="7"/>
            <w:tcBorders>
              <w:left w:val="single" w:color="000000" w:sz="6" w:space="0"/>
              <w:right w:val="single" w:color="000000" w:sz="12" w:space="0"/>
            </w:tcBorders>
            <w:noWrap w:val="0"/>
            <w:vAlign w:val="center"/>
          </w:tcPr>
          <w:p w14:paraId="7DF89767">
            <w:pPr>
              <w:keepNext w:val="0"/>
              <w:keepLines w:val="0"/>
              <w:pageBreakBefore w:val="0"/>
              <w:widowControl w:val="0"/>
              <w:kinsoku/>
              <w:wordWrap/>
              <w:overflowPunct w:val="0"/>
              <w:topLinePunct w:val="0"/>
              <w:autoSpaceDE/>
              <w:autoSpaceDN/>
              <w:bidi w:val="0"/>
              <w:snapToGrid w:val="0"/>
              <w:spacing w:line="240" w:lineRule="auto"/>
              <w:ind w:left="0" w:firstLine="0" w:firstLineChars="0"/>
              <w:rPr>
                <w:rFonts w:hint="default" w:ascii="宋体" w:hAnsi="宋体" w:eastAsia="宋体" w:cs="宋体"/>
                <w:color w:val="auto"/>
                <w:sz w:val="20"/>
                <w:szCs w:val="20"/>
                <w:highlight w:val="none"/>
                <w:shd w:val="clear" w:color="auto" w:fill="auto"/>
                <w:lang w:val="en-US"/>
              </w:rPr>
            </w:pPr>
            <w:r>
              <w:rPr>
                <w:rFonts w:hint="eastAsia" w:ascii="宋体" w:hAnsi="宋体" w:eastAsia="宋体" w:cs="宋体"/>
                <w:color w:val="auto"/>
                <w:sz w:val="20"/>
                <w:szCs w:val="20"/>
                <w:highlight w:val="none"/>
                <w:shd w:val="clear" w:color="auto" w:fill="auto"/>
                <w:lang w:val="en-US" w:eastAsia="zh-CN"/>
              </w:rPr>
              <w:t>调整情况：收回</w:t>
            </w:r>
          </w:p>
        </w:tc>
      </w:tr>
      <w:tr w14:paraId="65CBF0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0" w:type="dxa"/>
            <w:vMerge w:val="continue"/>
            <w:tcBorders>
              <w:left w:val="single" w:color="000000" w:sz="12" w:space="0"/>
              <w:right w:val="single" w:color="000000" w:sz="6" w:space="0"/>
            </w:tcBorders>
            <w:noWrap w:val="0"/>
            <w:vAlign w:val="center"/>
          </w:tcPr>
          <w:p w14:paraId="41A59193">
            <w:pPr>
              <w:keepNext w:val="0"/>
              <w:keepLines w:val="0"/>
              <w:pageBreakBefore w:val="0"/>
              <w:widowControl w:val="0"/>
              <w:kinsoku/>
              <w:wordWrap/>
              <w:overflowPunct w:val="0"/>
              <w:topLinePunct w:val="0"/>
              <w:autoSpaceDE/>
              <w:autoSpaceDN/>
              <w:bidi w:val="0"/>
              <w:snapToGrid w:val="0"/>
              <w:spacing w:line="240" w:lineRule="auto"/>
              <w:ind w:left="0" w:firstLine="0" w:firstLineChars="0"/>
              <w:jc w:val="left"/>
              <w:rPr>
                <w:rFonts w:hint="eastAsia" w:ascii="宋体" w:hAnsi="宋体" w:eastAsia="宋体" w:cs="宋体"/>
                <w:color w:val="auto"/>
                <w:sz w:val="20"/>
                <w:szCs w:val="20"/>
                <w:highlight w:val="none"/>
                <w:shd w:val="clear" w:color="auto" w:fill="auto"/>
              </w:rPr>
            </w:pPr>
          </w:p>
        </w:tc>
        <w:tc>
          <w:tcPr>
            <w:tcW w:w="15638" w:type="dxa"/>
            <w:gridSpan w:val="7"/>
            <w:tcBorders>
              <w:left w:val="single" w:color="000000" w:sz="6" w:space="0"/>
              <w:right w:val="single" w:color="000000" w:sz="12" w:space="0"/>
            </w:tcBorders>
            <w:noWrap w:val="0"/>
            <w:vAlign w:val="center"/>
          </w:tcPr>
          <w:p w14:paraId="7CDF1E1D">
            <w:pPr>
              <w:spacing w:before="143" w:line="219" w:lineRule="auto"/>
              <w:ind w:left="0" w:leftChars="0" w:firstLine="0" w:firstLineChars="0"/>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调整原因：河南省人民政府关于南阳市开展乡镇(街道)综合行政执法工作的批复豫政文〔2023〕66号</w:t>
            </w:r>
          </w:p>
          <w:p w14:paraId="355EF684">
            <w:pPr>
              <w:keepNext w:val="0"/>
              <w:keepLines w:val="0"/>
              <w:pageBreakBefore w:val="0"/>
              <w:widowControl w:val="0"/>
              <w:kinsoku/>
              <w:wordWrap/>
              <w:overflowPunct w:val="0"/>
              <w:topLinePunct w:val="0"/>
              <w:autoSpaceDE/>
              <w:autoSpaceDN/>
              <w:bidi w:val="0"/>
              <w:snapToGrid w:val="0"/>
              <w:spacing w:line="240" w:lineRule="auto"/>
              <w:ind w:left="0" w:firstLine="0" w:firstLineChars="0"/>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eastAsia="zh-CN"/>
              </w:rPr>
              <w:t>根据《南阳市人民政府关于优化调整赋予乡镇（街道）行政处罚权的通知(宛政[2025]11号)文件要求</w:t>
            </w:r>
          </w:p>
        </w:tc>
      </w:tr>
    </w:tbl>
    <w:tbl>
      <w:tblPr>
        <w:tblStyle w:val="3"/>
        <w:tblpPr w:leftFromText="180" w:rightFromText="180" w:vertAnchor="text" w:horzAnchor="page" w:tblpX="603" w:tblpY="-100"/>
        <w:tblOverlap w:val="never"/>
        <w:tblW w:w="15450" w:type="dxa"/>
        <w:tblInd w:w="0" w:type="dxa"/>
        <w:tblLayout w:type="fixed"/>
        <w:tblCellMar>
          <w:top w:w="0" w:type="dxa"/>
          <w:left w:w="0" w:type="dxa"/>
          <w:bottom w:w="0" w:type="dxa"/>
          <w:right w:w="0" w:type="dxa"/>
        </w:tblCellMar>
      </w:tblPr>
      <w:tblGrid>
        <w:gridCol w:w="746"/>
        <w:gridCol w:w="1261"/>
        <w:gridCol w:w="3275"/>
        <w:gridCol w:w="709"/>
        <w:gridCol w:w="1134"/>
        <w:gridCol w:w="5033"/>
        <w:gridCol w:w="2036"/>
        <w:gridCol w:w="1256"/>
      </w:tblGrid>
      <w:tr w14:paraId="02B14914">
        <w:tblPrEx>
          <w:tblCellMar>
            <w:top w:w="0" w:type="dxa"/>
            <w:left w:w="0" w:type="dxa"/>
            <w:bottom w:w="0" w:type="dxa"/>
            <w:right w:w="0" w:type="dxa"/>
          </w:tblCellMar>
        </w:tblPrEx>
        <w:trPr>
          <w:cantSplit/>
          <w:trHeight w:val="635" w:hRule="atLeast"/>
        </w:trPr>
        <w:tc>
          <w:tcPr>
            <w:tcW w:w="7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0FE5A">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color w:val="auto"/>
                <w:lang w:val="en-US" w:eastAsia="zh-CN"/>
              </w:rPr>
              <w:t xml:space="preserve"> </w:t>
            </w:r>
            <w:r>
              <w:rPr>
                <w:rFonts w:hint="eastAsia" w:ascii="宋体" w:hAnsi="宋体" w:eastAsia="宋体" w:cs="宋体"/>
                <w:color w:val="auto"/>
                <w:kern w:val="0"/>
                <w:sz w:val="20"/>
                <w:szCs w:val="20"/>
                <w:shd w:val="clear" w:color="auto" w:fill="auto"/>
              </w:rPr>
              <w:t>序号</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D96BC">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项目名称</w:t>
            </w:r>
          </w:p>
        </w:tc>
        <w:tc>
          <w:tcPr>
            <w:tcW w:w="3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EECCC">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实施依据</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5D16B">
            <w:pPr>
              <w:widowControl/>
              <w:spacing w:line="240" w:lineRule="auto"/>
              <w:ind w:firstLine="0" w:firstLineChars="0"/>
              <w:jc w:val="center"/>
              <w:textAlignment w:val="center"/>
              <w:rPr>
                <w:rFonts w:hint="eastAsia" w:ascii="宋体" w:hAnsi="宋体" w:eastAsia="宋体" w:cs="宋体"/>
                <w:color w:val="auto"/>
                <w:kern w:val="0"/>
                <w:sz w:val="20"/>
                <w:szCs w:val="20"/>
                <w:shd w:val="clear" w:color="auto" w:fill="auto"/>
              </w:rPr>
            </w:pPr>
            <w:r>
              <w:rPr>
                <w:rFonts w:hint="eastAsia" w:ascii="宋体" w:hAnsi="宋体" w:eastAsia="宋体" w:cs="宋体"/>
                <w:color w:val="auto"/>
                <w:kern w:val="0"/>
                <w:sz w:val="20"/>
                <w:szCs w:val="20"/>
                <w:shd w:val="clear" w:color="auto" w:fill="auto"/>
              </w:rPr>
              <w:t>职权</w:t>
            </w:r>
          </w:p>
          <w:p w14:paraId="53DB8F95">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类别</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CE792">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办理环节</w:t>
            </w:r>
          </w:p>
        </w:tc>
        <w:tc>
          <w:tcPr>
            <w:tcW w:w="503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5A7AD7E">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责任事项</w:t>
            </w:r>
          </w:p>
        </w:tc>
        <w:tc>
          <w:tcPr>
            <w:tcW w:w="203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835B45F">
            <w:pPr>
              <w:widowControl/>
              <w:spacing w:line="240" w:lineRule="auto"/>
              <w:ind w:firstLine="0" w:firstLineChars="0"/>
              <w:jc w:val="center"/>
              <w:textAlignment w:val="center"/>
              <w:rPr>
                <w:rFonts w:hint="eastAsia" w:ascii="宋体" w:hAnsi="宋体" w:eastAsia="宋体" w:cs="宋体"/>
                <w:color w:val="auto"/>
                <w:kern w:val="0"/>
                <w:sz w:val="20"/>
                <w:szCs w:val="20"/>
                <w:shd w:val="clear" w:color="auto" w:fill="auto"/>
              </w:rPr>
            </w:pPr>
            <w:r>
              <w:rPr>
                <w:rFonts w:hint="eastAsia" w:ascii="宋体" w:hAnsi="宋体" w:eastAsia="宋体" w:cs="宋体"/>
                <w:color w:val="auto"/>
                <w:kern w:val="0"/>
                <w:sz w:val="20"/>
                <w:szCs w:val="20"/>
                <w:shd w:val="clear" w:color="auto" w:fill="auto"/>
              </w:rPr>
              <w:t>追责情形</w:t>
            </w:r>
          </w:p>
        </w:tc>
        <w:tc>
          <w:tcPr>
            <w:tcW w:w="125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2784405">
            <w:pPr>
              <w:widowControl/>
              <w:spacing w:line="240" w:lineRule="auto"/>
              <w:ind w:firstLine="0" w:firstLineChars="0"/>
              <w:jc w:val="center"/>
              <w:textAlignment w:val="center"/>
              <w:rPr>
                <w:rFonts w:hint="eastAsia" w:ascii="宋体" w:hAnsi="宋体" w:eastAsia="宋体" w:cs="宋体"/>
                <w:color w:val="auto"/>
                <w:sz w:val="20"/>
                <w:szCs w:val="20"/>
                <w:shd w:val="clear" w:color="auto" w:fill="auto"/>
              </w:rPr>
            </w:pPr>
            <w:r>
              <w:rPr>
                <w:rFonts w:hint="eastAsia" w:ascii="宋体" w:hAnsi="宋体" w:eastAsia="宋体" w:cs="宋体"/>
                <w:color w:val="auto"/>
                <w:kern w:val="0"/>
                <w:sz w:val="20"/>
                <w:szCs w:val="20"/>
                <w:shd w:val="clear" w:color="auto" w:fill="auto"/>
              </w:rPr>
              <w:t>责任科室</w:t>
            </w:r>
          </w:p>
        </w:tc>
      </w:tr>
      <w:tr w14:paraId="051F0266">
        <w:tblPrEx>
          <w:tblCellMar>
            <w:top w:w="0" w:type="dxa"/>
            <w:left w:w="0" w:type="dxa"/>
            <w:bottom w:w="0" w:type="dxa"/>
            <w:right w:w="0" w:type="dxa"/>
          </w:tblCellMar>
        </w:tblPrEx>
        <w:trPr>
          <w:trHeight w:val="865" w:hRule="atLeast"/>
        </w:trPr>
        <w:tc>
          <w:tcPr>
            <w:tcW w:w="74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157AEF">
            <w:pPr>
              <w:keepNext w:val="0"/>
              <w:keepLines w:val="0"/>
              <w:pageBreakBefore w:val="0"/>
              <w:widowControl/>
              <w:kinsoku/>
              <w:wordWrap/>
              <w:overflowPunct/>
              <w:topLinePunct w:val="0"/>
              <w:autoSpaceDE/>
              <w:autoSpaceDN/>
              <w:bidi w:val="0"/>
              <w:adjustRightInd/>
              <w:snapToGrid w:val="0"/>
              <w:spacing w:line="240" w:lineRule="auto"/>
              <w:ind w:left="0" w:leftChars="0" w:firstLine="200" w:firstLineChars="100"/>
              <w:textAlignment w:val="center"/>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lang w:val="en-US" w:eastAsia="zh-CN"/>
              </w:rPr>
              <w:t>16</w:t>
            </w:r>
          </w:p>
          <w:p w14:paraId="67BF3F1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shd w:val="clear" w:color="auto" w:fill="auto"/>
                <w:lang w:val="en-US"/>
              </w:rPr>
            </w:pPr>
            <w:r>
              <w:rPr>
                <w:rFonts w:hint="eastAsia" w:ascii="宋体" w:hAnsi="宋体" w:eastAsia="宋体" w:cs="宋体"/>
                <w:color w:val="auto"/>
                <w:sz w:val="20"/>
                <w:szCs w:val="20"/>
                <w:highlight w:val="none"/>
                <w:shd w:val="clear" w:color="auto" w:fill="auto"/>
                <w:lang w:val="en-US" w:eastAsia="zh-CN"/>
              </w:rPr>
              <w:t xml:space="preserve"> </w:t>
            </w:r>
          </w:p>
        </w:tc>
        <w:tc>
          <w:tcPr>
            <w:tcW w:w="12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5F1677">
            <w:pPr>
              <w:spacing w:line="240" w:lineRule="auto"/>
              <w:ind w:firstLine="0" w:firstLineChars="0"/>
              <w:jc w:val="left"/>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rPr>
              <w:t>机动车驾驶员培训</w:t>
            </w:r>
            <w:r>
              <w:rPr>
                <w:rFonts w:hint="eastAsia" w:ascii="宋体" w:hAnsi="宋体" w:eastAsia="宋体" w:cs="宋体"/>
                <w:color w:val="auto"/>
                <w:sz w:val="20"/>
                <w:szCs w:val="20"/>
                <w:shd w:val="clear" w:color="auto" w:fill="auto"/>
                <w:lang w:val="en-US" w:eastAsia="zh-CN"/>
              </w:rPr>
              <w:t>备案</w:t>
            </w:r>
          </w:p>
        </w:tc>
        <w:tc>
          <w:tcPr>
            <w:tcW w:w="3275" w:type="dxa"/>
            <w:vMerge w:val="restart"/>
            <w:tcBorders>
              <w:top w:val="single" w:color="000000" w:sz="4" w:space="0"/>
              <w:left w:val="single" w:color="000000" w:sz="4" w:space="0"/>
              <w:right w:val="nil"/>
            </w:tcBorders>
            <w:tcMar>
              <w:top w:w="15" w:type="dxa"/>
              <w:left w:w="15" w:type="dxa"/>
              <w:right w:w="15" w:type="dxa"/>
            </w:tcMar>
            <w:vAlign w:val="center"/>
          </w:tcPr>
          <w:p w14:paraId="12C00044">
            <w:pPr>
              <w:spacing w:line="240" w:lineRule="auto"/>
              <w:ind w:firstLine="0" w:firstLineChars="0"/>
              <w:jc w:val="left"/>
              <w:rPr>
                <w:rFonts w:hint="eastAsia" w:ascii="宋体" w:hAnsi="宋体" w:eastAsia="宋体" w:cs="宋体"/>
                <w:color w:val="auto"/>
                <w:sz w:val="20"/>
                <w:szCs w:val="20"/>
                <w:shd w:val="clear" w:color="auto" w:fill="auto"/>
                <w:lang w:eastAsia="zh-CN"/>
              </w:rPr>
            </w:pPr>
            <w:r>
              <w:rPr>
                <w:rFonts w:hint="eastAsia" w:ascii="宋体" w:hAnsi="宋体" w:eastAsia="宋体" w:cs="宋体"/>
                <w:color w:val="auto"/>
                <w:sz w:val="20"/>
                <w:szCs w:val="20"/>
                <w:shd w:val="clear" w:color="auto" w:fill="auto"/>
                <w:lang w:eastAsia="zh-CN"/>
              </w:rPr>
              <w:t>《中华人民共和国道路运输条例》（2022年3月29日《国务院关于修改和废止部分行政法规的决定》第四次修订，自2022年5月1日起施行。）第三十九条第二款</w:t>
            </w:r>
          </w:p>
        </w:tc>
        <w:tc>
          <w:tcPr>
            <w:tcW w:w="7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E960F01">
            <w:pPr>
              <w:spacing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其他职权</w:t>
            </w:r>
          </w:p>
        </w:tc>
        <w:tc>
          <w:tcPr>
            <w:tcW w:w="1134"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25E60C2">
            <w:pPr>
              <w:pStyle w:val="5"/>
              <w:widowControl/>
              <w:spacing w:beforeAutospacing="0" w:afterAutospacing="0"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受理</w:t>
            </w:r>
          </w:p>
        </w:tc>
        <w:tc>
          <w:tcPr>
            <w:tcW w:w="5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852915">
            <w:pPr>
              <w:pStyle w:val="5"/>
              <w:widowControl/>
              <w:snapToGrid/>
              <w:spacing w:beforeAutospacing="0" w:afterAutospacing="0"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公示依法应当提交的材料；一次性告知补正材料；依法受理或不予受理（不予受理应当告知理由）。</w:t>
            </w:r>
          </w:p>
        </w:tc>
        <w:tc>
          <w:tcPr>
            <w:tcW w:w="203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D2FCA6E">
            <w:pPr>
              <w:spacing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不履行或不正确履行职责，有下列情形的行政机关及相关工作人员应承担相应的责任:</w:t>
            </w:r>
          </w:p>
          <w:p w14:paraId="209EB1D9">
            <w:pPr>
              <w:spacing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1.不依照本法规定的条件、程序和期限实施行政行为的；</w:t>
            </w:r>
          </w:p>
          <w:p w14:paraId="17A99D41">
            <w:pPr>
              <w:spacing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2.在工作中玩忽职守、滥用职权、徇私舞弊，构成犯罪的；</w:t>
            </w:r>
          </w:p>
          <w:p w14:paraId="33996C20">
            <w:pPr>
              <w:spacing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3.索取、收受他人财物，或者谋取其他利益的；</w:t>
            </w:r>
          </w:p>
          <w:p w14:paraId="2B2FAF40">
            <w:pPr>
              <w:spacing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4.其他违反法律法规政策规定的行为。</w:t>
            </w:r>
          </w:p>
        </w:tc>
        <w:tc>
          <w:tcPr>
            <w:tcW w:w="125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B3D31BF">
            <w:pPr>
              <w:spacing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i w:val="0"/>
                <w:caps w:val="0"/>
                <w:color w:val="auto"/>
                <w:spacing w:val="0"/>
                <w:sz w:val="20"/>
                <w:szCs w:val="20"/>
                <w:highlight w:val="none"/>
                <w:shd w:val="clear" w:color="auto" w:fill="auto"/>
                <w:lang w:val="en-US" w:eastAsia="zh-CN"/>
              </w:rPr>
              <w:t>社旗县交通运输局行政审批服务股</w:t>
            </w:r>
          </w:p>
        </w:tc>
      </w:tr>
      <w:tr w14:paraId="3AFB0ECF">
        <w:tblPrEx>
          <w:tblCellMar>
            <w:top w:w="0" w:type="dxa"/>
            <w:left w:w="0" w:type="dxa"/>
            <w:bottom w:w="0" w:type="dxa"/>
            <w:right w:w="0" w:type="dxa"/>
          </w:tblCellMar>
        </w:tblPrEx>
        <w:trPr>
          <w:trHeight w:val="766" w:hRule="atLeast"/>
        </w:trPr>
        <w:tc>
          <w:tcPr>
            <w:tcW w:w="746" w:type="dxa"/>
            <w:vMerge w:val="continue"/>
            <w:tcBorders>
              <w:left w:val="single" w:color="000000" w:sz="4" w:space="0"/>
              <w:right w:val="single" w:color="000000" w:sz="4" w:space="0"/>
            </w:tcBorders>
            <w:tcMar>
              <w:top w:w="15" w:type="dxa"/>
              <w:left w:w="15" w:type="dxa"/>
              <w:right w:w="15" w:type="dxa"/>
            </w:tcMar>
            <w:vAlign w:val="center"/>
          </w:tcPr>
          <w:p w14:paraId="48B711C5">
            <w:pPr>
              <w:spacing w:line="240" w:lineRule="auto"/>
              <w:ind w:firstLine="0" w:firstLineChars="0"/>
              <w:jc w:val="center"/>
              <w:rPr>
                <w:rFonts w:hint="eastAsia" w:ascii="宋体" w:hAnsi="宋体" w:eastAsia="宋体" w:cs="宋体"/>
                <w:color w:val="auto"/>
                <w:sz w:val="20"/>
                <w:szCs w:val="20"/>
                <w:shd w:val="clear" w:color="auto" w:fill="auto"/>
              </w:rPr>
            </w:pPr>
          </w:p>
        </w:tc>
        <w:tc>
          <w:tcPr>
            <w:tcW w:w="1261" w:type="dxa"/>
            <w:vMerge w:val="continue"/>
            <w:tcBorders>
              <w:left w:val="single" w:color="000000" w:sz="4" w:space="0"/>
              <w:right w:val="single" w:color="000000" w:sz="4" w:space="0"/>
            </w:tcBorders>
            <w:tcMar>
              <w:top w:w="15" w:type="dxa"/>
              <w:left w:w="15" w:type="dxa"/>
              <w:right w:w="15" w:type="dxa"/>
            </w:tcMar>
            <w:vAlign w:val="center"/>
          </w:tcPr>
          <w:p w14:paraId="046F67D4">
            <w:pPr>
              <w:spacing w:line="240" w:lineRule="auto"/>
              <w:ind w:firstLine="0" w:firstLineChars="0"/>
              <w:jc w:val="left"/>
              <w:rPr>
                <w:rFonts w:hint="eastAsia" w:ascii="宋体" w:hAnsi="宋体" w:eastAsia="宋体" w:cs="宋体"/>
                <w:color w:val="auto"/>
                <w:sz w:val="20"/>
                <w:szCs w:val="20"/>
                <w:shd w:val="clear" w:color="auto" w:fill="auto"/>
              </w:rPr>
            </w:pPr>
          </w:p>
        </w:tc>
        <w:tc>
          <w:tcPr>
            <w:tcW w:w="3275" w:type="dxa"/>
            <w:vMerge w:val="continue"/>
            <w:tcBorders>
              <w:left w:val="single" w:color="000000" w:sz="4" w:space="0"/>
              <w:right w:val="nil"/>
            </w:tcBorders>
            <w:tcMar>
              <w:top w:w="15" w:type="dxa"/>
              <w:left w:w="15" w:type="dxa"/>
              <w:right w:w="15" w:type="dxa"/>
            </w:tcMar>
            <w:vAlign w:val="center"/>
          </w:tcPr>
          <w:p w14:paraId="0A1D5525">
            <w:pPr>
              <w:spacing w:line="240" w:lineRule="auto"/>
              <w:ind w:firstLine="0" w:firstLineChars="0"/>
              <w:rPr>
                <w:rFonts w:hint="eastAsia" w:ascii="宋体" w:hAnsi="宋体" w:eastAsia="宋体" w:cs="宋体"/>
                <w:color w:val="auto"/>
                <w:sz w:val="20"/>
                <w:szCs w:val="20"/>
                <w:shd w:val="clear" w:color="auto" w:fill="auto"/>
              </w:rPr>
            </w:pPr>
          </w:p>
        </w:tc>
        <w:tc>
          <w:tcPr>
            <w:tcW w:w="709" w:type="dxa"/>
            <w:vMerge w:val="continue"/>
            <w:tcBorders>
              <w:left w:val="single" w:color="000000" w:sz="4" w:space="0"/>
              <w:right w:val="single" w:color="000000" w:sz="4" w:space="0"/>
            </w:tcBorders>
            <w:tcMar>
              <w:top w:w="15" w:type="dxa"/>
              <w:left w:w="15" w:type="dxa"/>
              <w:right w:w="15" w:type="dxa"/>
            </w:tcMar>
            <w:vAlign w:val="center"/>
          </w:tcPr>
          <w:p w14:paraId="5661B48F">
            <w:pPr>
              <w:spacing w:line="240" w:lineRule="auto"/>
              <w:ind w:firstLine="0" w:firstLineChars="0"/>
              <w:jc w:val="center"/>
              <w:rPr>
                <w:rFonts w:hint="eastAsia" w:ascii="宋体" w:hAnsi="宋体" w:eastAsia="宋体" w:cs="宋体"/>
                <w:color w:val="auto"/>
                <w:sz w:val="20"/>
                <w:szCs w:val="20"/>
                <w:shd w:val="clear" w:color="auto" w:fill="auto"/>
              </w:rPr>
            </w:pPr>
          </w:p>
        </w:tc>
        <w:tc>
          <w:tcPr>
            <w:tcW w:w="1134"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756BF5D1">
            <w:pPr>
              <w:pStyle w:val="5"/>
              <w:widowControl/>
              <w:spacing w:beforeAutospacing="0" w:afterAutospacing="0"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审查</w:t>
            </w:r>
          </w:p>
        </w:tc>
        <w:tc>
          <w:tcPr>
            <w:tcW w:w="5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5AD248">
            <w:pPr>
              <w:pStyle w:val="5"/>
              <w:widowControl/>
              <w:snapToGrid/>
              <w:spacing w:beforeAutospacing="0" w:afterAutospacing="0"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材料审核，组织人员现场勘查，提出初审意见。</w:t>
            </w:r>
          </w:p>
        </w:tc>
        <w:tc>
          <w:tcPr>
            <w:tcW w:w="2036" w:type="dxa"/>
            <w:vMerge w:val="continue"/>
            <w:tcBorders>
              <w:left w:val="single" w:color="auto" w:sz="4" w:space="0"/>
              <w:right w:val="single" w:color="auto" w:sz="4" w:space="0"/>
            </w:tcBorders>
            <w:tcMar>
              <w:top w:w="15" w:type="dxa"/>
              <w:left w:w="15" w:type="dxa"/>
              <w:right w:w="15" w:type="dxa"/>
            </w:tcMar>
            <w:vAlign w:val="center"/>
          </w:tcPr>
          <w:p w14:paraId="13E509DB">
            <w:pPr>
              <w:spacing w:line="240" w:lineRule="auto"/>
              <w:ind w:firstLine="0" w:firstLineChars="0"/>
              <w:jc w:val="center"/>
              <w:rPr>
                <w:rFonts w:hint="eastAsia" w:ascii="宋体" w:hAnsi="宋体" w:eastAsia="宋体" w:cs="宋体"/>
                <w:color w:val="auto"/>
                <w:sz w:val="20"/>
                <w:szCs w:val="20"/>
                <w:shd w:val="clear" w:color="auto" w:fill="auto"/>
              </w:rPr>
            </w:pPr>
          </w:p>
        </w:tc>
        <w:tc>
          <w:tcPr>
            <w:tcW w:w="1256" w:type="dxa"/>
            <w:vMerge w:val="continue"/>
            <w:tcBorders>
              <w:left w:val="single" w:color="auto" w:sz="4" w:space="0"/>
              <w:right w:val="single" w:color="auto" w:sz="4" w:space="0"/>
            </w:tcBorders>
            <w:tcMar>
              <w:top w:w="15" w:type="dxa"/>
              <w:left w:w="15" w:type="dxa"/>
              <w:right w:w="15" w:type="dxa"/>
            </w:tcMar>
            <w:vAlign w:val="center"/>
          </w:tcPr>
          <w:p w14:paraId="3D6D4C26">
            <w:pPr>
              <w:spacing w:line="240" w:lineRule="auto"/>
              <w:ind w:firstLine="0" w:firstLineChars="0"/>
              <w:jc w:val="center"/>
              <w:rPr>
                <w:rFonts w:hint="eastAsia" w:ascii="宋体" w:hAnsi="宋体" w:eastAsia="宋体" w:cs="宋体"/>
                <w:color w:val="auto"/>
                <w:sz w:val="20"/>
                <w:szCs w:val="20"/>
                <w:shd w:val="clear" w:color="auto" w:fill="auto"/>
              </w:rPr>
            </w:pPr>
          </w:p>
        </w:tc>
      </w:tr>
      <w:tr w14:paraId="053089ED">
        <w:tblPrEx>
          <w:tblCellMar>
            <w:top w:w="0" w:type="dxa"/>
            <w:left w:w="0" w:type="dxa"/>
            <w:bottom w:w="0" w:type="dxa"/>
            <w:right w:w="0" w:type="dxa"/>
          </w:tblCellMar>
        </w:tblPrEx>
        <w:trPr>
          <w:trHeight w:val="638" w:hRule="atLeast"/>
        </w:trPr>
        <w:tc>
          <w:tcPr>
            <w:tcW w:w="746" w:type="dxa"/>
            <w:vMerge w:val="continue"/>
            <w:tcBorders>
              <w:left w:val="single" w:color="000000" w:sz="4" w:space="0"/>
              <w:right w:val="single" w:color="000000" w:sz="4" w:space="0"/>
            </w:tcBorders>
            <w:tcMar>
              <w:top w:w="15" w:type="dxa"/>
              <w:left w:w="15" w:type="dxa"/>
              <w:right w:w="15" w:type="dxa"/>
            </w:tcMar>
            <w:vAlign w:val="center"/>
          </w:tcPr>
          <w:p w14:paraId="6E0DB806">
            <w:pPr>
              <w:spacing w:line="240" w:lineRule="auto"/>
              <w:ind w:firstLine="0" w:firstLineChars="0"/>
              <w:jc w:val="center"/>
              <w:rPr>
                <w:rFonts w:hint="eastAsia" w:ascii="宋体" w:hAnsi="宋体" w:eastAsia="宋体" w:cs="宋体"/>
                <w:color w:val="auto"/>
                <w:sz w:val="20"/>
                <w:szCs w:val="20"/>
                <w:shd w:val="clear" w:color="auto" w:fill="auto"/>
              </w:rPr>
            </w:pPr>
          </w:p>
        </w:tc>
        <w:tc>
          <w:tcPr>
            <w:tcW w:w="1261" w:type="dxa"/>
            <w:vMerge w:val="continue"/>
            <w:tcBorders>
              <w:left w:val="single" w:color="000000" w:sz="4" w:space="0"/>
              <w:right w:val="single" w:color="000000" w:sz="4" w:space="0"/>
            </w:tcBorders>
            <w:tcMar>
              <w:top w:w="15" w:type="dxa"/>
              <w:left w:w="15" w:type="dxa"/>
              <w:right w:w="15" w:type="dxa"/>
            </w:tcMar>
            <w:vAlign w:val="center"/>
          </w:tcPr>
          <w:p w14:paraId="2938338E">
            <w:pPr>
              <w:spacing w:line="240" w:lineRule="auto"/>
              <w:ind w:firstLine="0" w:firstLineChars="0"/>
              <w:jc w:val="left"/>
              <w:rPr>
                <w:rFonts w:hint="eastAsia" w:ascii="宋体" w:hAnsi="宋体" w:eastAsia="宋体" w:cs="宋体"/>
                <w:color w:val="auto"/>
                <w:sz w:val="20"/>
                <w:szCs w:val="20"/>
                <w:shd w:val="clear" w:color="auto" w:fill="auto"/>
              </w:rPr>
            </w:pPr>
          </w:p>
        </w:tc>
        <w:tc>
          <w:tcPr>
            <w:tcW w:w="3275" w:type="dxa"/>
            <w:vMerge w:val="continue"/>
            <w:tcBorders>
              <w:left w:val="single" w:color="000000" w:sz="4" w:space="0"/>
              <w:right w:val="nil"/>
            </w:tcBorders>
            <w:tcMar>
              <w:top w:w="15" w:type="dxa"/>
              <w:left w:w="15" w:type="dxa"/>
              <w:right w:w="15" w:type="dxa"/>
            </w:tcMar>
            <w:vAlign w:val="center"/>
          </w:tcPr>
          <w:p w14:paraId="6702F960">
            <w:pPr>
              <w:spacing w:line="240" w:lineRule="auto"/>
              <w:ind w:firstLine="0" w:firstLineChars="0"/>
              <w:rPr>
                <w:rFonts w:hint="eastAsia" w:ascii="宋体" w:hAnsi="宋体" w:eastAsia="宋体" w:cs="宋体"/>
                <w:color w:val="auto"/>
                <w:sz w:val="20"/>
                <w:szCs w:val="20"/>
                <w:shd w:val="clear" w:color="auto" w:fill="auto"/>
              </w:rPr>
            </w:pPr>
          </w:p>
        </w:tc>
        <w:tc>
          <w:tcPr>
            <w:tcW w:w="709" w:type="dxa"/>
            <w:vMerge w:val="continue"/>
            <w:tcBorders>
              <w:left w:val="single" w:color="000000" w:sz="4" w:space="0"/>
              <w:right w:val="single" w:color="000000" w:sz="4" w:space="0"/>
            </w:tcBorders>
            <w:tcMar>
              <w:top w:w="15" w:type="dxa"/>
              <w:left w:w="15" w:type="dxa"/>
              <w:right w:w="15" w:type="dxa"/>
            </w:tcMar>
            <w:vAlign w:val="center"/>
          </w:tcPr>
          <w:p w14:paraId="79C7A84A">
            <w:pPr>
              <w:spacing w:line="240" w:lineRule="auto"/>
              <w:ind w:firstLine="0" w:firstLineChars="0"/>
              <w:jc w:val="center"/>
              <w:rPr>
                <w:rFonts w:hint="eastAsia" w:ascii="宋体" w:hAnsi="宋体" w:eastAsia="宋体" w:cs="宋体"/>
                <w:color w:val="auto"/>
                <w:sz w:val="20"/>
                <w:szCs w:val="20"/>
                <w:shd w:val="clear" w:color="auto" w:fill="auto"/>
              </w:rPr>
            </w:pPr>
          </w:p>
        </w:tc>
        <w:tc>
          <w:tcPr>
            <w:tcW w:w="1134"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3D75BFA">
            <w:pPr>
              <w:pStyle w:val="5"/>
              <w:widowControl/>
              <w:spacing w:beforeAutospacing="0" w:afterAutospacing="0"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决定</w:t>
            </w:r>
          </w:p>
        </w:tc>
        <w:tc>
          <w:tcPr>
            <w:tcW w:w="5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32D375">
            <w:pPr>
              <w:pStyle w:val="5"/>
              <w:widowControl/>
              <w:snapToGrid/>
              <w:spacing w:beforeAutospacing="0" w:afterAutospacing="0"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作出决定。</w:t>
            </w:r>
          </w:p>
        </w:tc>
        <w:tc>
          <w:tcPr>
            <w:tcW w:w="2036" w:type="dxa"/>
            <w:vMerge w:val="continue"/>
            <w:tcBorders>
              <w:left w:val="single" w:color="auto" w:sz="4" w:space="0"/>
              <w:right w:val="single" w:color="auto" w:sz="4" w:space="0"/>
            </w:tcBorders>
            <w:tcMar>
              <w:top w:w="15" w:type="dxa"/>
              <w:left w:w="15" w:type="dxa"/>
              <w:right w:w="15" w:type="dxa"/>
            </w:tcMar>
            <w:vAlign w:val="center"/>
          </w:tcPr>
          <w:p w14:paraId="621E9D94">
            <w:pPr>
              <w:spacing w:line="240" w:lineRule="auto"/>
              <w:ind w:firstLine="0" w:firstLineChars="0"/>
              <w:jc w:val="center"/>
              <w:rPr>
                <w:rFonts w:hint="eastAsia" w:ascii="宋体" w:hAnsi="宋体" w:eastAsia="宋体" w:cs="宋体"/>
                <w:color w:val="auto"/>
                <w:sz w:val="20"/>
                <w:szCs w:val="20"/>
                <w:shd w:val="clear" w:color="auto" w:fill="auto"/>
              </w:rPr>
            </w:pPr>
          </w:p>
        </w:tc>
        <w:tc>
          <w:tcPr>
            <w:tcW w:w="1256" w:type="dxa"/>
            <w:vMerge w:val="continue"/>
            <w:tcBorders>
              <w:left w:val="single" w:color="auto" w:sz="4" w:space="0"/>
              <w:right w:val="single" w:color="auto" w:sz="4" w:space="0"/>
            </w:tcBorders>
            <w:tcMar>
              <w:top w:w="15" w:type="dxa"/>
              <w:left w:w="15" w:type="dxa"/>
              <w:right w:w="15" w:type="dxa"/>
            </w:tcMar>
            <w:vAlign w:val="center"/>
          </w:tcPr>
          <w:p w14:paraId="6B560B5E">
            <w:pPr>
              <w:spacing w:line="240" w:lineRule="auto"/>
              <w:ind w:firstLine="0" w:firstLineChars="0"/>
              <w:jc w:val="center"/>
              <w:rPr>
                <w:rFonts w:hint="eastAsia" w:ascii="宋体" w:hAnsi="宋体" w:eastAsia="宋体" w:cs="宋体"/>
                <w:color w:val="auto"/>
                <w:sz w:val="20"/>
                <w:szCs w:val="20"/>
                <w:shd w:val="clear" w:color="auto" w:fill="auto"/>
              </w:rPr>
            </w:pPr>
          </w:p>
        </w:tc>
      </w:tr>
      <w:tr w14:paraId="40588518">
        <w:tblPrEx>
          <w:tblCellMar>
            <w:top w:w="0" w:type="dxa"/>
            <w:left w:w="0" w:type="dxa"/>
            <w:bottom w:w="0" w:type="dxa"/>
            <w:right w:w="0" w:type="dxa"/>
          </w:tblCellMar>
        </w:tblPrEx>
        <w:trPr>
          <w:trHeight w:val="831" w:hRule="atLeast"/>
        </w:trPr>
        <w:tc>
          <w:tcPr>
            <w:tcW w:w="746" w:type="dxa"/>
            <w:vMerge w:val="continue"/>
            <w:tcBorders>
              <w:left w:val="single" w:color="000000" w:sz="4" w:space="0"/>
              <w:right w:val="single" w:color="000000" w:sz="4" w:space="0"/>
            </w:tcBorders>
            <w:tcMar>
              <w:top w:w="15" w:type="dxa"/>
              <w:left w:w="15" w:type="dxa"/>
              <w:right w:w="15" w:type="dxa"/>
            </w:tcMar>
            <w:vAlign w:val="center"/>
          </w:tcPr>
          <w:p w14:paraId="6D566796">
            <w:pPr>
              <w:spacing w:line="240" w:lineRule="auto"/>
              <w:ind w:firstLine="0" w:firstLineChars="0"/>
              <w:jc w:val="center"/>
              <w:rPr>
                <w:rFonts w:hint="eastAsia" w:ascii="宋体" w:hAnsi="宋体" w:eastAsia="宋体" w:cs="宋体"/>
                <w:color w:val="auto"/>
                <w:sz w:val="20"/>
                <w:szCs w:val="20"/>
                <w:shd w:val="clear" w:color="auto" w:fill="auto"/>
              </w:rPr>
            </w:pPr>
          </w:p>
        </w:tc>
        <w:tc>
          <w:tcPr>
            <w:tcW w:w="1261" w:type="dxa"/>
            <w:vMerge w:val="continue"/>
            <w:tcBorders>
              <w:left w:val="single" w:color="000000" w:sz="4" w:space="0"/>
              <w:right w:val="single" w:color="000000" w:sz="4" w:space="0"/>
            </w:tcBorders>
            <w:tcMar>
              <w:top w:w="15" w:type="dxa"/>
              <w:left w:w="15" w:type="dxa"/>
              <w:right w:w="15" w:type="dxa"/>
            </w:tcMar>
            <w:vAlign w:val="center"/>
          </w:tcPr>
          <w:p w14:paraId="577D968B">
            <w:pPr>
              <w:spacing w:line="240" w:lineRule="auto"/>
              <w:ind w:firstLine="0" w:firstLineChars="0"/>
              <w:jc w:val="left"/>
              <w:rPr>
                <w:rFonts w:hint="eastAsia" w:ascii="宋体" w:hAnsi="宋体" w:eastAsia="宋体" w:cs="宋体"/>
                <w:color w:val="auto"/>
                <w:sz w:val="20"/>
                <w:szCs w:val="20"/>
                <w:shd w:val="clear" w:color="auto" w:fill="auto"/>
              </w:rPr>
            </w:pPr>
          </w:p>
        </w:tc>
        <w:tc>
          <w:tcPr>
            <w:tcW w:w="3275" w:type="dxa"/>
            <w:vMerge w:val="continue"/>
            <w:tcBorders>
              <w:left w:val="single" w:color="000000" w:sz="4" w:space="0"/>
              <w:right w:val="nil"/>
            </w:tcBorders>
            <w:tcMar>
              <w:top w:w="15" w:type="dxa"/>
              <w:left w:w="15" w:type="dxa"/>
              <w:right w:w="15" w:type="dxa"/>
            </w:tcMar>
            <w:vAlign w:val="center"/>
          </w:tcPr>
          <w:p w14:paraId="57736A6C">
            <w:pPr>
              <w:spacing w:line="240" w:lineRule="auto"/>
              <w:ind w:firstLine="0" w:firstLineChars="0"/>
              <w:rPr>
                <w:rFonts w:hint="eastAsia" w:ascii="宋体" w:hAnsi="宋体" w:eastAsia="宋体" w:cs="宋体"/>
                <w:color w:val="auto"/>
                <w:sz w:val="20"/>
                <w:szCs w:val="20"/>
                <w:shd w:val="clear" w:color="auto" w:fill="auto"/>
              </w:rPr>
            </w:pPr>
          </w:p>
        </w:tc>
        <w:tc>
          <w:tcPr>
            <w:tcW w:w="709" w:type="dxa"/>
            <w:vMerge w:val="continue"/>
            <w:tcBorders>
              <w:left w:val="single" w:color="000000" w:sz="4" w:space="0"/>
              <w:right w:val="single" w:color="000000" w:sz="4" w:space="0"/>
            </w:tcBorders>
            <w:tcMar>
              <w:top w:w="15" w:type="dxa"/>
              <w:left w:w="15" w:type="dxa"/>
              <w:right w:w="15" w:type="dxa"/>
            </w:tcMar>
            <w:vAlign w:val="center"/>
          </w:tcPr>
          <w:p w14:paraId="45A2C159">
            <w:pPr>
              <w:spacing w:line="240" w:lineRule="auto"/>
              <w:ind w:firstLine="0" w:firstLineChars="0"/>
              <w:jc w:val="center"/>
              <w:rPr>
                <w:rFonts w:hint="eastAsia" w:ascii="宋体" w:hAnsi="宋体" w:eastAsia="宋体" w:cs="宋体"/>
                <w:color w:val="auto"/>
                <w:sz w:val="20"/>
                <w:szCs w:val="20"/>
                <w:shd w:val="clear" w:color="auto" w:fill="auto"/>
              </w:rPr>
            </w:pPr>
          </w:p>
        </w:tc>
        <w:tc>
          <w:tcPr>
            <w:tcW w:w="1134"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E5018C4">
            <w:pPr>
              <w:pStyle w:val="5"/>
              <w:widowControl/>
              <w:spacing w:beforeAutospacing="0" w:afterAutospacing="0" w:line="240" w:lineRule="auto"/>
              <w:ind w:firstLine="0" w:firstLineChars="0"/>
              <w:jc w:val="center"/>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事后监管</w:t>
            </w:r>
          </w:p>
        </w:tc>
        <w:tc>
          <w:tcPr>
            <w:tcW w:w="50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84AAAE">
            <w:pPr>
              <w:pStyle w:val="5"/>
              <w:widowControl/>
              <w:snapToGrid/>
              <w:spacing w:beforeAutospacing="0" w:afterAutospacing="0" w:line="240" w:lineRule="auto"/>
              <w:ind w:firstLine="0" w:firstLineChars="0"/>
              <w:rPr>
                <w:rFonts w:hint="eastAsia" w:ascii="宋体" w:hAnsi="宋体" w:eastAsia="宋体" w:cs="宋体"/>
                <w:color w:val="auto"/>
                <w:sz w:val="20"/>
                <w:szCs w:val="20"/>
                <w:shd w:val="clear" w:color="auto" w:fill="auto"/>
              </w:rPr>
            </w:pPr>
            <w:r>
              <w:rPr>
                <w:rFonts w:hint="eastAsia" w:ascii="宋体" w:hAnsi="宋体" w:eastAsia="宋体" w:cs="宋体"/>
                <w:color w:val="auto"/>
                <w:sz w:val="20"/>
                <w:szCs w:val="20"/>
                <w:shd w:val="clear" w:color="auto" w:fill="auto"/>
              </w:rPr>
              <w:t>法律法规规章文件规定应履行的责任。</w:t>
            </w:r>
          </w:p>
        </w:tc>
        <w:tc>
          <w:tcPr>
            <w:tcW w:w="2036" w:type="dxa"/>
            <w:vMerge w:val="continue"/>
            <w:tcBorders>
              <w:left w:val="single" w:color="auto" w:sz="4" w:space="0"/>
              <w:right w:val="single" w:color="auto" w:sz="4" w:space="0"/>
            </w:tcBorders>
            <w:tcMar>
              <w:top w:w="15" w:type="dxa"/>
              <w:left w:w="15" w:type="dxa"/>
              <w:right w:w="15" w:type="dxa"/>
            </w:tcMar>
            <w:vAlign w:val="center"/>
          </w:tcPr>
          <w:p w14:paraId="435462F3">
            <w:pPr>
              <w:spacing w:line="240" w:lineRule="auto"/>
              <w:ind w:firstLine="0" w:firstLineChars="0"/>
              <w:jc w:val="center"/>
              <w:rPr>
                <w:rFonts w:hint="eastAsia" w:ascii="宋体" w:hAnsi="宋体" w:eastAsia="宋体" w:cs="宋体"/>
                <w:color w:val="auto"/>
                <w:sz w:val="20"/>
                <w:szCs w:val="20"/>
                <w:shd w:val="clear" w:color="auto" w:fill="auto"/>
              </w:rPr>
            </w:pPr>
          </w:p>
        </w:tc>
        <w:tc>
          <w:tcPr>
            <w:tcW w:w="1256" w:type="dxa"/>
            <w:vMerge w:val="continue"/>
            <w:tcBorders>
              <w:left w:val="single" w:color="auto" w:sz="4" w:space="0"/>
              <w:right w:val="single" w:color="auto" w:sz="4" w:space="0"/>
            </w:tcBorders>
            <w:tcMar>
              <w:top w:w="15" w:type="dxa"/>
              <w:left w:w="15" w:type="dxa"/>
              <w:right w:w="15" w:type="dxa"/>
            </w:tcMar>
            <w:vAlign w:val="center"/>
          </w:tcPr>
          <w:p w14:paraId="703E87EC">
            <w:pPr>
              <w:spacing w:line="240" w:lineRule="auto"/>
              <w:ind w:firstLine="0" w:firstLineChars="0"/>
              <w:jc w:val="center"/>
              <w:rPr>
                <w:rFonts w:hint="eastAsia" w:ascii="宋体" w:hAnsi="宋体" w:eastAsia="宋体" w:cs="宋体"/>
                <w:color w:val="auto"/>
                <w:sz w:val="20"/>
                <w:szCs w:val="20"/>
                <w:shd w:val="clear" w:color="auto" w:fill="auto"/>
              </w:rPr>
            </w:pPr>
          </w:p>
        </w:tc>
      </w:tr>
      <w:tr w14:paraId="32F459D4">
        <w:tblPrEx>
          <w:tblCellMar>
            <w:top w:w="0" w:type="dxa"/>
            <w:left w:w="0" w:type="dxa"/>
            <w:bottom w:w="0" w:type="dxa"/>
            <w:right w:w="0" w:type="dxa"/>
          </w:tblCellMar>
        </w:tblPrEx>
        <w:trPr>
          <w:trHeight w:val="553" w:hRule="atLeast"/>
        </w:trPr>
        <w:tc>
          <w:tcPr>
            <w:tcW w:w="746" w:type="dxa"/>
            <w:vMerge w:val="continue"/>
            <w:tcBorders>
              <w:left w:val="single" w:color="000000" w:sz="4" w:space="0"/>
              <w:right w:val="single" w:color="000000" w:sz="4" w:space="0"/>
            </w:tcBorders>
            <w:tcMar>
              <w:top w:w="15" w:type="dxa"/>
              <w:left w:w="15" w:type="dxa"/>
              <w:right w:w="15" w:type="dxa"/>
            </w:tcMar>
            <w:vAlign w:val="center"/>
          </w:tcPr>
          <w:p w14:paraId="2CD3228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shd w:val="clear" w:color="auto" w:fill="auto"/>
                <w:lang w:eastAsia="zh-CN"/>
              </w:rPr>
            </w:pPr>
          </w:p>
        </w:tc>
        <w:tc>
          <w:tcPr>
            <w:tcW w:w="14704" w:type="dxa"/>
            <w:gridSpan w:val="7"/>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6905DD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调整情况：调整职权名称由“机动车驾驶员培训许可”改为“机动车驾驶员培训备案”；职权类别由“行政许可”改为“其他职权”</w:t>
            </w:r>
          </w:p>
        </w:tc>
      </w:tr>
      <w:tr w14:paraId="0F0E341D">
        <w:tblPrEx>
          <w:tblCellMar>
            <w:top w:w="0" w:type="dxa"/>
            <w:left w:w="0" w:type="dxa"/>
            <w:bottom w:w="0" w:type="dxa"/>
            <w:right w:w="0" w:type="dxa"/>
          </w:tblCellMar>
        </w:tblPrEx>
        <w:trPr>
          <w:trHeight w:val="455" w:hRule="atLeast"/>
        </w:trPr>
        <w:tc>
          <w:tcPr>
            <w:tcW w:w="746"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42E646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default" w:ascii="宋体" w:hAnsi="宋体" w:eastAsia="宋体" w:cs="宋体"/>
                <w:color w:val="auto"/>
                <w:sz w:val="20"/>
                <w:szCs w:val="20"/>
                <w:shd w:val="clear" w:color="auto" w:fill="auto"/>
                <w:lang w:val="en-US"/>
              </w:rPr>
            </w:pPr>
          </w:p>
        </w:tc>
        <w:tc>
          <w:tcPr>
            <w:tcW w:w="14704"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78E12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center"/>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lang w:eastAsia="zh-CN"/>
              </w:rPr>
              <w:t>调整原因：按照新修订《中华人民共和国道路运输条例》规定，机动车驾驶员培训无需取得许可，只需备案。</w:t>
            </w:r>
          </w:p>
        </w:tc>
      </w:tr>
    </w:tbl>
    <w:p w14:paraId="590FE509">
      <w:pPr>
        <w:keepNext w:val="0"/>
        <w:keepLines w:val="0"/>
        <w:pageBreakBefore w:val="0"/>
        <w:widowControl w:val="0"/>
        <w:shd w:val="clear"/>
        <w:kinsoku/>
        <w:wordWrap/>
        <w:overflowPunct/>
        <w:topLinePunct w:val="0"/>
        <w:autoSpaceDE/>
        <w:autoSpaceDN w:val="0"/>
        <w:bidi w:val="0"/>
        <w:adjustRightInd/>
        <w:snapToGrid/>
        <w:spacing w:before="157" w:beforeLines="50" w:after="0" w:line="240" w:lineRule="auto"/>
        <w:ind w:left="0" w:leftChars="0" w:right="0" w:firstLine="0" w:firstLineChars="0"/>
        <w:jc w:val="center"/>
        <w:textAlignment w:val="center"/>
        <w:outlineLvl w:val="9"/>
        <w:rPr>
          <w:rFonts w:hint="eastAsia" w:ascii="黑体" w:hAnsi="黑体" w:eastAsia="黑体" w:cs="黑体"/>
          <w:b w:val="0"/>
          <w:bCs w:val="0"/>
          <w:i w:val="0"/>
          <w:color w:val="auto"/>
          <w:kern w:val="0"/>
          <w:sz w:val="44"/>
          <w:szCs w:val="44"/>
          <w:highlight w:val="none"/>
          <w:u w:val="none"/>
          <w:shd w:val="clear" w:color="auto" w:fill="auto"/>
          <w:lang w:val="en-US" w:eastAsia="zh-CN"/>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p>
    <w:p w14:paraId="1EB28888">
      <w:pPr>
        <w:rPr>
          <w:rFonts w:hint="default"/>
          <w:lang w:val="en-US"/>
        </w:rPr>
      </w:pPr>
      <w:r>
        <w:rPr>
          <w:rFonts w:hint="eastAsia" w:ascii="黑体" w:hAnsi="黑体" w:eastAsia="黑体" w:cs="黑体"/>
          <w:b w:val="0"/>
          <w:bCs w:val="0"/>
          <w:i w:val="0"/>
          <w:color w:val="auto"/>
          <w:kern w:val="0"/>
          <w:sz w:val="44"/>
          <w:szCs w:val="44"/>
          <w:highlight w:val="none"/>
          <w:u w:val="none"/>
          <w:shd w:val="clear" w:color="auto" w:fill="auto"/>
          <w:lang w:val="en-US" w:eastAsia="zh-CN"/>
        </w:rPr>
        <w:t xml:space="preserve"> </w:t>
      </w:r>
    </w:p>
    <w:sectPr>
      <w:pgSz w:w="16838" w:h="11906" w:orient="landscape"/>
      <w:pgMar w:top="1179" w:right="1440" w:bottom="1179"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27FF"/>
    <w:rsid w:val="03A2514E"/>
    <w:rsid w:val="08FF094D"/>
    <w:rsid w:val="0B9C2483"/>
    <w:rsid w:val="0F557518"/>
    <w:rsid w:val="12490E8B"/>
    <w:rsid w:val="29A21154"/>
    <w:rsid w:val="311F29EB"/>
    <w:rsid w:val="367C2AF7"/>
    <w:rsid w:val="39C11183"/>
    <w:rsid w:val="3F823162"/>
    <w:rsid w:val="424E1A22"/>
    <w:rsid w:val="45CF69D6"/>
    <w:rsid w:val="466C2476"/>
    <w:rsid w:val="47A9327A"/>
    <w:rsid w:val="485B6C46"/>
    <w:rsid w:val="53407DE6"/>
    <w:rsid w:val="5AE633E8"/>
    <w:rsid w:val="604C0059"/>
    <w:rsid w:val="617D27FF"/>
    <w:rsid w:val="62C3204A"/>
    <w:rsid w:val="6AAB0F10"/>
    <w:rsid w:val="6CF05300"/>
    <w:rsid w:val="71290DE0"/>
    <w:rsid w:val="78801AE6"/>
    <w:rsid w:val="7B310FBD"/>
    <w:rsid w:val="7E207966"/>
    <w:rsid w:val="7FA63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5">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5289</Words>
  <Characters>5459</Characters>
  <Lines>0</Lines>
  <Paragraphs>0</Paragraphs>
  <TotalTime>1</TotalTime>
  <ScaleCrop>false</ScaleCrop>
  <LinksUpToDate>false</LinksUpToDate>
  <CharactersWithSpaces>5494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2025-12-23T01:58:00Z</dcterms:created>
  <dc:creator>琳儿</dc:creator>
  <cp:lastModifiedBy>琳儿</cp:lastModifiedBy>
  <dcterms:modified xsi:type="dcterms:W3CDTF">2025-12-24T01:58:24Z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4D126F6F58E04EFB83C875A6372F6C69_11</vt:lpwstr>
  </property>
  <property fmtid="{D5CDD505-2E9C-101B-9397-08002B2CF9AE}" pid="4" name="KSOTemplateDocerSaveRecord">
    <vt:lpwstr>eyJoZGlkIjoiZjg3NTA2N2IwOTgyZWY3MDMwNDNjMGNjMmYyMjA0M2IiLCJ1c2VySWQiOiIxMDg1MzQ4MDQyIn0=</vt:lpwstr>
  </property>
</Properties>
</file>