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4F6EE">
      <w:pPr>
        <w:keepNext w:val="0"/>
        <w:keepLines w:val="0"/>
        <w:pageBreakBefore w:val="0"/>
        <w:widowControl w:val="0"/>
        <w:kinsoku/>
        <w:wordWrap/>
        <w:overflowPunct/>
        <w:topLinePunct w:val="0"/>
        <w:autoSpaceDE/>
        <w:autoSpaceDN/>
        <w:bidi w:val="0"/>
        <w:adjustRightInd/>
        <w:snapToGrid/>
        <w:spacing w:before="625" w:beforeLines="200" w:line="560" w:lineRule="exact"/>
        <w:jc w:val="center"/>
        <w:textAlignment w:val="auto"/>
        <w:rPr>
          <w:rFonts w:hint="eastAsia" w:ascii="仿宋_GB2312" w:hAnsi="仿宋_GB2312" w:eastAsia="仿宋_GB2312" w:cs="仿宋_GB2312"/>
          <w:sz w:val="32"/>
          <w:szCs w:val="32"/>
          <w:lang w:val="en-US" w:eastAsia="zh-CN"/>
        </w:rPr>
      </w:pPr>
    </w:p>
    <w:p w14:paraId="0B8AC701">
      <w:pPr>
        <w:keepNext w:val="0"/>
        <w:keepLines w:val="0"/>
        <w:pageBreakBefore w:val="0"/>
        <w:widowControl w:val="0"/>
        <w:kinsoku/>
        <w:wordWrap/>
        <w:overflowPunct/>
        <w:topLinePunct w:val="0"/>
        <w:autoSpaceDE/>
        <w:autoSpaceDN/>
        <w:bidi w:val="0"/>
        <w:adjustRightInd/>
        <w:snapToGrid/>
        <w:spacing w:before="625" w:beforeLines="200" w:line="560" w:lineRule="exact"/>
        <w:jc w:val="both"/>
        <w:textAlignment w:val="auto"/>
        <w:rPr>
          <w:rFonts w:hint="eastAsia" w:ascii="仿宋_GB2312" w:hAnsi="仿宋_GB2312" w:eastAsia="仿宋_GB2312" w:cs="仿宋_GB2312"/>
          <w:sz w:val="32"/>
          <w:szCs w:val="32"/>
          <w:lang w:val="en-US" w:eastAsia="zh-CN"/>
        </w:rPr>
      </w:pPr>
    </w:p>
    <w:p w14:paraId="7DBD5209">
      <w:pPr>
        <w:jc w:val="center"/>
        <w:rPr>
          <w:rFonts w:hint="eastAsia" w:ascii="仿宋_GB2312" w:hAnsi="仿宋_GB2312" w:eastAsia="仿宋_GB2312" w:cs="仿宋_GB2312"/>
          <w:sz w:val="32"/>
          <w:szCs w:val="32"/>
          <w:lang w:val="en-US" w:eastAsia="zh-CN"/>
        </w:rPr>
      </w:pPr>
    </w:p>
    <w:p w14:paraId="5471C99B">
      <w:pPr>
        <w:jc w:val="center"/>
        <w:rPr>
          <w:rFonts w:hint="eastAsia" w:ascii="仿宋_GB2312" w:hAnsi="仿宋_GB2312" w:eastAsia="仿宋_GB2312" w:cs="仿宋_GB2312"/>
          <w:sz w:val="32"/>
          <w:szCs w:val="32"/>
          <w:lang w:val="en-US" w:eastAsia="zh-CN"/>
        </w:rPr>
      </w:pPr>
    </w:p>
    <w:p w14:paraId="2EAC8DEB">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社市监〔2025〕21号</w:t>
      </w:r>
    </w:p>
    <w:p w14:paraId="51D846AB">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小标宋_GBK" w:hAnsi="方正小标宋_GBK" w:eastAsia="方正小标宋_GBK" w:cs="方正小标宋_GBK"/>
          <w:sz w:val="44"/>
          <w:szCs w:val="42"/>
        </w:rPr>
      </w:pPr>
    </w:p>
    <w:p w14:paraId="3794276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sz w:val="44"/>
          <w:szCs w:val="42"/>
        </w:rPr>
      </w:pPr>
      <w:r>
        <w:rPr>
          <w:rFonts w:hint="eastAsia" w:ascii="方正小标宋_GBK" w:hAnsi="方正小标宋_GBK" w:eastAsia="方正小标宋_GBK" w:cs="方正小标宋_GBK"/>
          <w:sz w:val="44"/>
          <w:szCs w:val="42"/>
        </w:rPr>
        <w:t>2025年</w:t>
      </w:r>
      <w:r>
        <w:rPr>
          <w:rFonts w:hint="eastAsia" w:ascii="方正小标宋_GBK" w:hAnsi="方正小标宋_GBK" w:eastAsia="方正小标宋_GBK" w:cs="方正小标宋_GBK"/>
          <w:sz w:val="44"/>
          <w:szCs w:val="42"/>
          <w:lang w:val="en-US" w:eastAsia="zh-CN"/>
        </w:rPr>
        <w:t>社旗县</w:t>
      </w:r>
      <w:r>
        <w:rPr>
          <w:rFonts w:hint="eastAsia" w:ascii="方正小标宋_GBK" w:hAnsi="方正小标宋_GBK" w:eastAsia="方正小标宋_GBK" w:cs="方正小标宋_GBK"/>
          <w:sz w:val="44"/>
          <w:szCs w:val="42"/>
        </w:rPr>
        <w:t>药品流通监管工作要点</w:t>
      </w:r>
    </w:p>
    <w:p w14:paraId="23A889C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sz w:val="44"/>
          <w:szCs w:val="42"/>
        </w:rPr>
      </w:pPr>
      <w:r>
        <w:rPr>
          <w:rFonts w:hint="eastAsia" w:ascii="方正小标宋_GBK" w:hAnsi="方正小标宋_GBK" w:eastAsia="方正小标宋_GBK" w:cs="方正小标宋_GBK"/>
          <w:sz w:val="44"/>
          <w:szCs w:val="42"/>
          <w:lang w:eastAsia="zh-CN"/>
        </w:rPr>
        <w:t>暨</w:t>
      </w:r>
      <w:r>
        <w:rPr>
          <w:rFonts w:hint="eastAsia" w:ascii="方正小标宋_GBK" w:hAnsi="方正小标宋_GBK" w:eastAsia="方正小标宋_GBK" w:cs="方正小标宋_GBK"/>
          <w:sz w:val="44"/>
          <w:szCs w:val="44"/>
        </w:rPr>
        <w:t>药品经营和使用单位监督检查计划</w:t>
      </w:r>
    </w:p>
    <w:p w14:paraId="08B2833C">
      <w:pPr>
        <w:spacing w:line="560" w:lineRule="exact"/>
        <w:rPr>
          <w:rFonts w:ascii="方正大标宋简体" w:eastAsia="方正大标宋简体"/>
          <w:sz w:val="40"/>
        </w:rPr>
      </w:pPr>
    </w:p>
    <w:p w14:paraId="5C72CB1A">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局机关</w:t>
      </w:r>
      <w:r>
        <w:rPr>
          <w:rFonts w:hint="eastAsia" w:ascii="仿宋_GB2312" w:hAnsi="仿宋_GB2312" w:eastAsia="仿宋_GB2312" w:cs="仿宋_GB2312"/>
          <w:color w:val="auto"/>
          <w:kern w:val="0"/>
          <w:sz w:val="32"/>
          <w:szCs w:val="32"/>
          <w:lang w:eastAsia="zh-CN"/>
        </w:rPr>
        <w:t>各股</w:t>
      </w:r>
      <w:r>
        <w:rPr>
          <w:rFonts w:hint="eastAsia" w:ascii="仿宋_GB2312" w:hAnsi="仿宋_GB2312" w:eastAsia="仿宋_GB2312" w:cs="仿宋_GB2312"/>
          <w:color w:val="auto"/>
          <w:kern w:val="0"/>
          <w:sz w:val="32"/>
          <w:szCs w:val="32"/>
        </w:rPr>
        <w:t>室</w:t>
      </w:r>
      <w:r>
        <w:rPr>
          <w:rFonts w:hint="eastAsia" w:ascii="仿宋_GB2312" w:hAnsi="仿宋_GB2312" w:eastAsia="仿宋_GB2312" w:cs="仿宋_GB2312"/>
          <w:color w:val="auto"/>
          <w:kern w:val="0"/>
          <w:sz w:val="32"/>
          <w:szCs w:val="32"/>
          <w:lang w:eastAsia="zh-CN"/>
        </w:rPr>
        <w:t>、局属各单位、各基层所</w:t>
      </w:r>
      <w:r>
        <w:rPr>
          <w:rFonts w:hint="eastAsia" w:ascii="仿宋_GB2312" w:hAnsi="仿宋_GB2312" w:eastAsia="仿宋_GB2312" w:cs="仿宋_GB2312"/>
          <w:color w:val="auto"/>
          <w:kern w:val="0"/>
          <w:sz w:val="32"/>
          <w:szCs w:val="32"/>
        </w:rPr>
        <w:t>：</w:t>
      </w:r>
    </w:p>
    <w:p w14:paraId="222BA8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现将《2025年社旗县药品流通监管工作要点暨药品经营和使用单位监督检查计划》印发给你们，请结合工作实际认真贯彻落实。</w:t>
      </w:r>
    </w:p>
    <w:p w14:paraId="189FA7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790B08F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459EC9F1">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社旗县市场监督管理局</w:t>
      </w:r>
    </w:p>
    <w:p w14:paraId="573D4A01">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w:t>
      </w:r>
      <w:bookmarkStart w:id="0" w:name="_GoBack"/>
      <w:bookmarkEnd w:id="0"/>
      <w:r>
        <w:rPr>
          <w:rFonts w:hint="eastAsia" w:ascii="仿宋_GB2312" w:hAnsi="仿宋_GB2312" w:eastAsia="仿宋_GB2312" w:cs="仿宋_GB2312"/>
          <w:sz w:val="32"/>
          <w:szCs w:val="32"/>
          <w:lang w:val="en-US" w:eastAsia="zh-CN"/>
        </w:rPr>
        <w:t>4月14日</w:t>
      </w:r>
    </w:p>
    <w:p w14:paraId="12202773">
      <w:pPr>
        <w:spacing w:line="560" w:lineRule="exact"/>
        <w:jc w:val="both"/>
        <w:rPr>
          <w:rFonts w:hint="eastAsia" w:ascii="仿宋_GB2312" w:hAnsi="仿宋_GB2312" w:eastAsia="仿宋_GB2312" w:cs="仿宋_GB2312"/>
          <w:sz w:val="44"/>
          <w:szCs w:val="42"/>
        </w:rPr>
      </w:pPr>
    </w:p>
    <w:p w14:paraId="29143337">
      <w:pPr>
        <w:spacing w:line="560" w:lineRule="exact"/>
        <w:jc w:val="both"/>
        <w:rPr>
          <w:rFonts w:hint="eastAsia" w:ascii="仿宋_GB2312" w:hAnsi="仿宋_GB2312" w:eastAsia="仿宋_GB2312" w:cs="仿宋_GB2312"/>
          <w:sz w:val="44"/>
          <w:szCs w:val="42"/>
        </w:rPr>
      </w:pPr>
    </w:p>
    <w:p w14:paraId="6423872D">
      <w:pPr>
        <w:spacing w:line="560" w:lineRule="exact"/>
        <w:jc w:val="both"/>
        <w:rPr>
          <w:rFonts w:hint="eastAsia" w:ascii="仿宋_GB2312" w:hAnsi="仿宋_GB2312" w:eastAsia="仿宋_GB2312" w:cs="仿宋_GB2312"/>
          <w:sz w:val="44"/>
          <w:szCs w:val="42"/>
        </w:rPr>
      </w:pPr>
    </w:p>
    <w:p w14:paraId="0C480D1E">
      <w:pPr>
        <w:spacing w:line="560" w:lineRule="exact"/>
        <w:jc w:val="center"/>
        <w:rPr>
          <w:rFonts w:hint="eastAsia" w:ascii="黑体" w:hAnsi="黑体" w:eastAsia="黑体" w:cs="黑体"/>
          <w:color w:val="000000"/>
          <w:sz w:val="48"/>
          <w:szCs w:val="44"/>
        </w:rPr>
      </w:pPr>
      <w:r>
        <w:rPr>
          <w:rFonts w:hint="eastAsia" w:ascii="方正小标宋_GBK" w:hAnsi="方正小标宋_GBK" w:eastAsia="方正小标宋_GBK" w:cs="方正小标宋_GBK"/>
          <w:sz w:val="44"/>
          <w:szCs w:val="42"/>
        </w:rPr>
        <w:t>2025年</w:t>
      </w:r>
      <w:r>
        <w:rPr>
          <w:rFonts w:hint="eastAsia" w:ascii="方正小标宋_GBK" w:hAnsi="方正小标宋_GBK" w:eastAsia="方正小标宋_GBK" w:cs="方正小标宋_GBK"/>
          <w:sz w:val="44"/>
          <w:szCs w:val="42"/>
          <w:lang w:val="en-US" w:eastAsia="zh-CN"/>
        </w:rPr>
        <w:t>社旗县</w:t>
      </w:r>
      <w:r>
        <w:rPr>
          <w:rFonts w:hint="eastAsia" w:ascii="方正小标宋_GBK" w:hAnsi="方正小标宋_GBK" w:eastAsia="方正小标宋_GBK" w:cs="方正小标宋_GBK"/>
          <w:sz w:val="44"/>
          <w:szCs w:val="42"/>
        </w:rPr>
        <w:t>药品流通监管工作要点</w:t>
      </w:r>
    </w:p>
    <w:p w14:paraId="4973C502">
      <w:pPr>
        <w:spacing w:line="560" w:lineRule="exact"/>
        <w:jc w:val="center"/>
        <w:rPr>
          <w:rFonts w:ascii="仿宋_GB2312" w:eastAsia="仿宋_GB2312"/>
          <w:color w:val="000000"/>
          <w:sz w:val="32"/>
          <w:szCs w:val="32"/>
        </w:rPr>
      </w:pPr>
    </w:p>
    <w:p w14:paraId="21810CA5">
      <w:pPr>
        <w:keepNext w:val="0"/>
        <w:keepLines w:val="0"/>
        <w:pageBreakBefore w:val="0"/>
        <w:widowControl/>
        <w:kinsoku/>
        <w:wordWrap/>
        <w:topLinePunct w:val="0"/>
        <w:autoSpaceDE/>
        <w:autoSpaceDN/>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2025年药品流通监管</w:t>
      </w:r>
      <w:r>
        <w:rPr>
          <w:rFonts w:ascii="仿宋_GB2312" w:eastAsia="仿宋_GB2312"/>
          <w:color w:val="000000"/>
          <w:sz w:val="32"/>
          <w:szCs w:val="32"/>
        </w:rPr>
        <w:t>的</w:t>
      </w:r>
      <w:r>
        <w:rPr>
          <w:rFonts w:hint="eastAsia" w:ascii="仿宋_GB2312" w:eastAsia="仿宋_GB2312"/>
          <w:color w:val="000000"/>
          <w:sz w:val="32"/>
          <w:szCs w:val="32"/>
        </w:rPr>
        <w:t>工作思路</w:t>
      </w:r>
      <w:r>
        <w:rPr>
          <w:rFonts w:ascii="仿宋_GB2312" w:eastAsia="仿宋_GB2312"/>
          <w:color w:val="000000"/>
          <w:sz w:val="32"/>
          <w:szCs w:val="32"/>
        </w:rPr>
        <w:t>是：</w:t>
      </w:r>
      <w:r>
        <w:rPr>
          <w:rFonts w:hint="eastAsia" w:ascii="仿宋_GB2312" w:eastAsia="仿宋_GB2312"/>
          <w:color w:val="000000"/>
          <w:sz w:val="32"/>
          <w:szCs w:val="32"/>
        </w:rPr>
        <w:t>坚持以习近平新时代中国特色社会主义思想为指导，全面贯彻党的二十大和二十届二中、三中全会精神，深入贯彻落实</w:t>
      </w:r>
      <w:r>
        <w:rPr>
          <w:rFonts w:hint="eastAsia" w:ascii="仿宋_GB2312" w:eastAsia="仿宋_GB2312"/>
          <w:color w:val="000000"/>
          <w:sz w:val="32"/>
          <w:szCs w:val="32"/>
          <w:lang w:eastAsia="zh-CN"/>
        </w:rPr>
        <w:t>市</w:t>
      </w:r>
      <w:r>
        <w:rPr>
          <w:rFonts w:hint="eastAsia" w:ascii="仿宋_GB2312" w:eastAsia="仿宋_GB2312"/>
          <w:color w:val="000000"/>
          <w:sz w:val="32"/>
          <w:szCs w:val="32"/>
        </w:rPr>
        <w:t>委、</w:t>
      </w:r>
      <w:r>
        <w:rPr>
          <w:rFonts w:hint="eastAsia" w:ascii="仿宋_GB2312" w:eastAsia="仿宋_GB2312"/>
          <w:color w:val="000000"/>
          <w:sz w:val="32"/>
          <w:szCs w:val="32"/>
          <w:lang w:eastAsia="zh-CN"/>
        </w:rPr>
        <w:t>市</w:t>
      </w:r>
      <w:r>
        <w:rPr>
          <w:rFonts w:hint="eastAsia" w:ascii="仿宋_GB2312" w:eastAsia="仿宋_GB2312"/>
          <w:color w:val="000000"/>
          <w:sz w:val="32"/>
          <w:szCs w:val="32"/>
        </w:rPr>
        <w:t>政府和</w:t>
      </w:r>
      <w:r>
        <w:rPr>
          <w:rFonts w:hint="eastAsia" w:ascii="仿宋_GB2312" w:eastAsia="仿宋_GB2312"/>
          <w:color w:val="000000"/>
          <w:sz w:val="32"/>
          <w:szCs w:val="32"/>
          <w:lang w:eastAsia="zh-CN"/>
        </w:rPr>
        <w:t>省</w:t>
      </w:r>
      <w:r>
        <w:rPr>
          <w:rFonts w:hint="eastAsia" w:ascii="仿宋_GB2312" w:eastAsia="仿宋_GB2312"/>
          <w:color w:val="000000"/>
          <w:sz w:val="32"/>
          <w:szCs w:val="32"/>
        </w:rPr>
        <w:t>药监局决策部署，按照</w:t>
      </w:r>
      <w:r>
        <w:rPr>
          <w:rFonts w:hint="eastAsia" w:ascii="仿宋_GB2312" w:eastAsia="仿宋_GB2312"/>
          <w:color w:val="000000"/>
          <w:sz w:val="32"/>
          <w:szCs w:val="32"/>
          <w:lang w:eastAsia="zh-CN"/>
        </w:rPr>
        <w:t>市市场监管局</w:t>
      </w:r>
      <w:r>
        <w:rPr>
          <w:rFonts w:hint="eastAsia" w:ascii="仿宋_GB2312" w:eastAsia="仿宋_GB2312"/>
          <w:color w:val="000000"/>
          <w:sz w:val="32"/>
          <w:szCs w:val="32"/>
        </w:rPr>
        <w:t>年度监管工作会议要求，围绕保障高水平安全、推动高质量发展两大目标，统筹发展和安全、效率和公平、监管和服务，坚持法治思维、开放心态，辩证处理好“三个关系”，全过程深化药品监管改革，全方位筑牢药品安全底线，全链条支持医药产业高质量发展，圆满完成“十四五”规划目标任务，切实保障人民群众用药安全。</w:t>
      </w:r>
    </w:p>
    <w:p w14:paraId="22B651F9">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一、切实做好</w:t>
      </w:r>
      <w:r>
        <w:rPr>
          <w:rFonts w:ascii="黑体" w:hAnsi="黑体" w:eastAsia="黑体" w:cs="黑体"/>
          <w:color w:val="000000"/>
          <w:sz w:val="32"/>
          <w:szCs w:val="32"/>
        </w:rPr>
        <w:t>药品</w:t>
      </w:r>
      <w:r>
        <w:rPr>
          <w:rFonts w:hint="eastAsia" w:ascii="黑体" w:hAnsi="黑体" w:eastAsia="黑体" w:cs="黑体"/>
          <w:color w:val="000000"/>
          <w:sz w:val="32"/>
          <w:szCs w:val="32"/>
        </w:rPr>
        <w:t>经营使用环节日常监管</w:t>
      </w:r>
    </w:p>
    <w:p w14:paraId="6683D3B2">
      <w:pPr>
        <w:keepNext w:val="0"/>
        <w:keepLines w:val="0"/>
        <w:pageBreakBefore w:val="0"/>
        <w:widowControl w:val="0"/>
        <w:kinsoku/>
        <w:wordWrap/>
        <w:overflowPunct w:val="0"/>
        <w:topLinePunct w:val="0"/>
        <w:autoSpaceDE/>
        <w:autoSpaceDN/>
        <w:bidi w:val="0"/>
        <w:adjustRightInd w:val="0"/>
        <w:snapToGrid w:val="0"/>
        <w:spacing w:line="560" w:lineRule="exact"/>
        <w:ind w:firstLine="646" w:firstLineChars="200"/>
        <w:jc w:val="left"/>
        <w:textAlignment w:val="auto"/>
        <w:rPr>
          <w:rFonts w:hint="eastAsia" w:ascii="仿宋_GB2312" w:eastAsia="仿宋_GB2312"/>
          <w:b/>
          <w:bCs/>
          <w:color w:val="000000"/>
          <w:w w:val="101"/>
          <w:sz w:val="32"/>
          <w:szCs w:val="32"/>
          <w:lang w:eastAsia="zh-CN"/>
        </w:rPr>
      </w:pPr>
      <w:r>
        <w:rPr>
          <w:rFonts w:hint="eastAsia" w:ascii="仿宋_GB2312" w:eastAsia="仿宋_GB2312"/>
          <w:color w:val="000000"/>
          <w:w w:val="101"/>
          <w:sz w:val="32"/>
          <w:szCs w:val="32"/>
          <w:lang w:val="en-US" w:eastAsia="zh-CN"/>
        </w:rPr>
        <w:t>药化股、药化稽查大队、各市场监管所</w:t>
      </w:r>
      <w:r>
        <w:rPr>
          <w:rFonts w:hint="eastAsia" w:ascii="仿宋_GB2312" w:eastAsia="仿宋_GB2312"/>
          <w:color w:val="000000"/>
          <w:w w:val="101"/>
          <w:sz w:val="32"/>
          <w:szCs w:val="32"/>
        </w:rPr>
        <w:t>要依职责研判风险，梳理本</w:t>
      </w:r>
      <w:r>
        <w:rPr>
          <w:rFonts w:hint="eastAsia" w:ascii="仿宋_GB2312" w:eastAsia="仿宋_GB2312"/>
          <w:color w:val="000000"/>
          <w:w w:val="101"/>
          <w:sz w:val="32"/>
          <w:szCs w:val="32"/>
          <w:lang w:val="en-US" w:eastAsia="zh-CN"/>
        </w:rPr>
        <w:t>辖区</w:t>
      </w:r>
      <w:r>
        <w:rPr>
          <w:rFonts w:hint="eastAsia" w:ascii="仿宋_GB2312" w:eastAsia="仿宋_GB2312"/>
          <w:color w:val="000000"/>
          <w:w w:val="101"/>
          <w:sz w:val="32"/>
          <w:szCs w:val="32"/>
        </w:rPr>
        <w:t>的重点</w:t>
      </w:r>
      <w:r>
        <w:rPr>
          <w:rFonts w:hint="eastAsia" w:ascii="仿宋_GB2312" w:eastAsia="仿宋_GB2312"/>
          <w:color w:val="000000"/>
          <w:w w:val="101"/>
          <w:sz w:val="32"/>
          <w:szCs w:val="32"/>
          <w:lang w:eastAsia="zh-CN"/>
        </w:rPr>
        <w:t>单位</w:t>
      </w:r>
      <w:r>
        <w:rPr>
          <w:rFonts w:hint="eastAsia" w:ascii="仿宋_GB2312" w:eastAsia="仿宋_GB2312"/>
          <w:color w:val="000000"/>
          <w:w w:val="101"/>
          <w:sz w:val="32"/>
          <w:szCs w:val="32"/>
        </w:rPr>
        <w:t>，以疫苗、血液制品、含特殊药品复方制剂、常用及高值集采中选药品为重点品种，以城乡接合部、农村地区为重点区域，综合运用常规检查、飞行检查、摸排暗访等手段，加强药品经营和使用环节的日常监管。</w:t>
      </w:r>
      <w:r>
        <w:rPr>
          <w:rFonts w:hint="eastAsia" w:ascii="仿宋_GB2312" w:hAnsi="仿宋" w:eastAsia="仿宋_GB2312"/>
          <w:color w:val="000000"/>
          <w:w w:val="101"/>
          <w:sz w:val="32"/>
          <w:szCs w:val="32"/>
          <w:lang w:val="en"/>
        </w:rPr>
        <w:t>坚持</w:t>
      </w:r>
      <w:r>
        <w:rPr>
          <w:rFonts w:hint="eastAsia" w:ascii="仿宋_GB2312" w:hAnsi="仿宋" w:eastAsia="仿宋_GB2312"/>
          <w:color w:val="000000"/>
          <w:sz w:val="32"/>
          <w:szCs w:val="32"/>
          <w:lang w:val="en"/>
        </w:rPr>
        <w:t>线上线下一体推进，重点打击出租出借证照、非法渠道购进药品、</w:t>
      </w:r>
      <w:r>
        <w:rPr>
          <w:rFonts w:hint="eastAsia" w:ascii="仿宋_GB2312" w:hAnsi="仿宋" w:eastAsia="仿宋_GB2312"/>
          <w:color w:val="000000"/>
          <w:sz w:val="32"/>
          <w:szCs w:val="32"/>
          <w:lang w:val="en-US" w:eastAsia="zh-CN"/>
        </w:rPr>
        <w:t>销售、使用过期失效药品、</w:t>
      </w:r>
      <w:r>
        <w:rPr>
          <w:rFonts w:hint="eastAsia" w:ascii="仿宋_GB2312" w:hAnsi="仿宋" w:eastAsia="仿宋_GB2312"/>
          <w:color w:val="000000"/>
          <w:sz w:val="32"/>
          <w:szCs w:val="32"/>
          <w:lang w:val="en"/>
        </w:rPr>
        <w:t>网络销售《禁止清单》药品等行为；加强药品零售企业处方药销售、执业药师配备及在岗履职情况监管。</w:t>
      </w:r>
      <w:r>
        <w:rPr>
          <w:rFonts w:hint="eastAsia" w:ascii="仿宋_GB2312" w:eastAsia="仿宋_GB2312"/>
          <w:color w:val="000000"/>
          <w:w w:val="101"/>
          <w:sz w:val="32"/>
          <w:szCs w:val="32"/>
        </w:rPr>
        <w:t>按照《药品经营和使用质量监督管理办法》规定的检查频次</w:t>
      </w:r>
      <w:r>
        <w:rPr>
          <w:rFonts w:hint="eastAsia" w:ascii="仿宋_GB2312" w:eastAsia="仿宋_GB2312"/>
          <w:color w:val="000000"/>
          <w:w w:val="101"/>
          <w:sz w:val="32"/>
          <w:szCs w:val="32"/>
          <w:lang w:eastAsia="zh-CN"/>
        </w:rPr>
        <w:t>，</w:t>
      </w:r>
      <w:r>
        <w:rPr>
          <w:rFonts w:hint="eastAsia" w:ascii="仿宋_GB2312" w:eastAsia="仿宋_GB2312"/>
          <w:color w:val="000000"/>
          <w:w w:val="101"/>
          <w:sz w:val="32"/>
          <w:szCs w:val="32"/>
          <w:lang w:val="en-US" w:eastAsia="zh-CN"/>
        </w:rPr>
        <w:t>提出以下具体</w:t>
      </w:r>
      <w:r>
        <w:rPr>
          <w:rFonts w:hint="eastAsia" w:ascii="仿宋_GB2312" w:eastAsia="仿宋_GB2312"/>
          <w:color w:val="000000"/>
          <w:w w:val="101"/>
          <w:sz w:val="32"/>
          <w:szCs w:val="32"/>
        </w:rPr>
        <w:t>要求</w:t>
      </w:r>
      <w:r>
        <w:rPr>
          <w:rFonts w:hint="eastAsia" w:ascii="仿宋_GB2312" w:eastAsia="仿宋_GB2312"/>
          <w:b/>
          <w:bCs/>
          <w:color w:val="000000"/>
          <w:w w:val="101"/>
          <w:sz w:val="32"/>
          <w:szCs w:val="32"/>
          <w:lang w:eastAsia="zh-CN"/>
        </w:rPr>
        <w:t>：</w:t>
      </w:r>
    </w:p>
    <w:p w14:paraId="4B6B3641">
      <w:pPr>
        <w:keepNext w:val="0"/>
        <w:keepLines w:val="0"/>
        <w:pageBreakBefore w:val="0"/>
        <w:widowControl w:val="0"/>
        <w:numPr>
          <w:ilvl w:val="0"/>
          <w:numId w:val="1"/>
        </w:numPr>
        <w:kinsoku/>
        <w:wordWrap/>
        <w:overflowPunct w:val="0"/>
        <w:topLinePunct w:val="0"/>
        <w:autoSpaceDE/>
        <w:autoSpaceDN/>
        <w:bidi w:val="0"/>
        <w:adjustRightInd w:val="0"/>
        <w:snapToGrid w:val="0"/>
        <w:spacing w:line="560" w:lineRule="exact"/>
        <w:ind w:firstLine="646" w:firstLineChars="200"/>
        <w:jc w:val="left"/>
        <w:textAlignment w:val="auto"/>
        <w:rPr>
          <w:rFonts w:hint="eastAsia" w:ascii="仿宋_GB2312" w:eastAsia="仿宋_GB2312"/>
          <w:b w:val="0"/>
          <w:bCs w:val="0"/>
          <w:color w:val="000000"/>
          <w:w w:val="101"/>
          <w:sz w:val="32"/>
          <w:szCs w:val="32"/>
          <w:lang w:val="en-US" w:eastAsia="zh-CN"/>
        </w:rPr>
      </w:pPr>
      <w:r>
        <w:rPr>
          <w:rFonts w:hint="eastAsia" w:ascii="仿宋_GB2312" w:eastAsia="仿宋_GB2312"/>
          <w:b w:val="0"/>
          <w:bCs w:val="0"/>
          <w:color w:val="000000"/>
          <w:w w:val="101"/>
          <w:sz w:val="32"/>
          <w:szCs w:val="32"/>
          <w:lang w:val="en-US" w:eastAsia="zh-CN"/>
        </w:rPr>
        <w:t>药化股负责对全县一级以上医疗机构进行检查，每年不少于一次，药化稽查大队根据办案需要进行检查；</w:t>
      </w:r>
    </w:p>
    <w:p w14:paraId="60A2C6BC">
      <w:pPr>
        <w:keepNext w:val="0"/>
        <w:keepLines w:val="0"/>
        <w:pageBreakBefore w:val="0"/>
        <w:widowControl w:val="0"/>
        <w:numPr>
          <w:ilvl w:val="0"/>
          <w:numId w:val="1"/>
        </w:numPr>
        <w:kinsoku/>
        <w:wordWrap/>
        <w:overflowPunct w:val="0"/>
        <w:topLinePunct w:val="0"/>
        <w:autoSpaceDE/>
        <w:autoSpaceDN/>
        <w:bidi w:val="0"/>
        <w:adjustRightInd w:val="0"/>
        <w:snapToGrid w:val="0"/>
        <w:spacing w:line="560" w:lineRule="exact"/>
        <w:ind w:left="0" w:leftChars="0" w:firstLine="646" w:firstLineChars="200"/>
        <w:jc w:val="left"/>
        <w:textAlignment w:val="auto"/>
        <w:rPr>
          <w:rFonts w:hint="eastAsia" w:ascii="仿宋_GB2312" w:hAnsi="Calibri" w:eastAsia="仿宋_GB2312" w:cs="Times New Roman"/>
          <w:b w:val="0"/>
          <w:bCs w:val="0"/>
          <w:color w:val="000000"/>
          <w:w w:val="101"/>
          <w:sz w:val="32"/>
          <w:szCs w:val="32"/>
          <w:lang w:val="en-US" w:eastAsia="zh-CN"/>
        </w:rPr>
      </w:pPr>
      <w:r>
        <w:rPr>
          <w:rFonts w:hint="eastAsia" w:ascii="仿宋_GB2312" w:eastAsia="仿宋_GB2312"/>
          <w:b w:val="0"/>
          <w:bCs w:val="0"/>
          <w:color w:val="000000"/>
          <w:w w:val="101"/>
          <w:sz w:val="32"/>
          <w:szCs w:val="32"/>
          <w:lang w:val="en-US" w:eastAsia="zh-CN"/>
        </w:rPr>
        <w:t>各市场监管所负责本辖区内零售药店、诊所（卫生室）的日常监管，药化股、药化稽查大队</w:t>
      </w:r>
      <w:r>
        <w:rPr>
          <w:rFonts w:hint="eastAsia" w:ascii="仿宋_GB2312" w:hAnsi="Calibri" w:eastAsia="仿宋_GB2312" w:cs="Times New Roman"/>
          <w:b w:val="0"/>
          <w:bCs w:val="0"/>
          <w:color w:val="000000"/>
          <w:w w:val="101"/>
          <w:sz w:val="32"/>
          <w:szCs w:val="32"/>
          <w:lang w:val="en-US" w:eastAsia="zh-CN"/>
        </w:rPr>
        <w:t>根据工作实际进行随机抽查</w:t>
      </w:r>
      <w:r>
        <w:rPr>
          <w:rFonts w:hint="eastAsia" w:ascii="仿宋_GB2312" w:eastAsia="仿宋_GB2312"/>
          <w:b w:val="0"/>
          <w:bCs w:val="0"/>
          <w:color w:val="000000"/>
          <w:w w:val="101"/>
          <w:sz w:val="32"/>
          <w:szCs w:val="32"/>
          <w:lang w:val="en-US" w:eastAsia="zh-CN"/>
        </w:rPr>
        <w:t>。各市场监管所对</w:t>
      </w:r>
      <w:r>
        <w:rPr>
          <w:rFonts w:hint="eastAsia" w:ascii="仿宋_GB2312" w:hAnsi="Calibri" w:eastAsia="仿宋_GB2312" w:cs="Times New Roman"/>
          <w:b w:val="0"/>
          <w:bCs w:val="0"/>
          <w:color w:val="000000"/>
          <w:w w:val="101"/>
          <w:sz w:val="32"/>
          <w:szCs w:val="32"/>
          <w:lang w:val="en-US" w:eastAsia="zh-CN"/>
        </w:rPr>
        <w:t>辖区内的零售药店、</w:t>
      </w:r>
      <w:r>
        <w:rPr>
          <w:rFonts w:hint="eastAsia" w:ascii="仿宋_GB2312" w:eastAsia="仿宋_GB2312"/>
          <w:b w:val="0"/>
          <w:bCs w:val="0"/>
          <w:color w:val="000000"/>
          <w:w w:val="101"/>
          <w:sz w:val="32"/>
          <w:szCs w:val="32"/>
          <w:lang w:val="en-US" w:eastAsia="zh-CN"/>
        </w:rPr>
        <w:t>诊所（卫生室）</w:t>
      </w:r>
      <w:r>
        <w:rPr>
          <w:rFonts w:hint="eastAsia" w:ascii="仿宋_GB2312" w:hAnsi="Calibri" w:eastAsia="仿宋_GB2312" w:cs="Times New Roman"/>
          <w:b w:val="0"/>
          <w:bCs w:val="0"/>
          <w:color w:val="000000"/>
          <w:w w:val="101"/>
          <w:sz w:val="32"/>
          <w:szCs w:val="32"/>
          <w:lang w:val="en-US" w:eastAsia="zh-CN"/>
        </w:rPr>
        <w:t>，</w:t>
      </w:r>
      <w:r>
        <w:rPr>
          <w:rFonts w:hint="eastAsia" w:ascii="仿宋_GB2312" w:eastAsia="仿宋_GB2312"/>
          <w:b w:val="0"/>
          <w:bCs w:val="0"/>
          <w:color w:val="000000"/>
          <w:w w:val="101"/>
          <w:sz w:val="32"/>
          <w:szCs w:val="32"/>
          <w:lang w:val="en-US" w:eastAsia="zh-CN"/>
        </w:rPr>
        <w:t>每年检查比例不得低于辖区内零售</w:t>
      </w:r>
      <w:r>
        <w:rPr>
          <w:rFonts w:hint="eastAsia" w:ascii="仿宋_GB2312" w:hAnsi="Calibri" w:eastAsia="仿宋_GB2312" w:cs="Times New Roman"/>
          <w:b w:val="0"/>
          <w:bCs w:val="0"/>
          <w:color w:val="000000"/>
          <w:w w:val="101"/>
          <w:sz w:val="32"/>
          <w:szCs w:val="32"/>
          <w:lang w:val="en-US" w:eastAsia="zh-CN"/>
        </w:rPr>
        <w:t>药店、</w:t>
      </w:r>
      <w:r>
        <w:rPr>
          <w:rFonts w:hint="eastAsia" w:ascii="仿宋_GB2312" w:eastAsia="仿宋_GB2312"/>
          <w:b w:val="0"/>
          <w:bCs w:val="0"/>
          <w:color w:val="000000"/>
          <w:w w:val="101"/>
          <w:sz w:val="32"/>
          <w:szCs w:val="32"/>
          <w:lang w:val="en-US" w:eastAsia="zh-CN"/>
        </w:rPr>
        <w:t>诊所（卫生室）总数的30%，三年内对辖区内药品经营使用单位完成全覆盖检查；</w:t>
      </w:r>
      <w:r>
        <w:rPr>
          <w:rFonts w:hint="eastAsia" w:ascii="仿宋_GB2312" w:hAnsi="Calibri" w:eastAsia="仿宋_GB2312" w:cs="Times New Roman"/>
          <w:b w:val="0"/>
          <w:bCs w:val="0"/>
          <w:color w:val="000000"/>
          <w:w w:val="101"/>
          <w:sz w:val="32"/>
          <w:szCs w:val="32"/>
          <w:lang w:val="en-US" w:eastAsia="zh-CN"/>
        </w:rPr>
        <w:t>药化股、药化稽查大队每年对各乡镇零售药店、</w:t>
      </w:r>
      <w:r>
        <w:rPr>
          <w:rFonts w:hint="eastAsia" w:ascii="仿宋_GB2312" w:eastAsia="仿宋_GB2312"/>
          <w:b w:val="0"/>
          <w:bCs w:val="0"/>
          <w:color w:val="000000"/>
          <w:w w:val="101"/>
          <w:sz w:val="32"/>
          <w:szCs w:val="32"/>
          <w:lang w:val="en-US" w:eastAsia="zh-CN"/>
        </w:rPr>
        <w:t>诊所（卫生室）</w:t>
      </w:r>
      <w:r>
        <w:rPr>
          <w:rFonts w:hint="eastAsia" w:ascii="仿宋_GB2312" w:hAnsi="Calibri" w:eastAsia="仿宋_GB2312" w:cs="Times New Roman"/>
          <w:b w:val="0"/>
          <w:bCs w:val="0"/>
          <w:color w:val="000000"/>
          <w:w w:val="101"/>
          <w:sz w:val="32"/>
          <w:szCs w:val="32"/>
          <w:lang w:val="en-US" w:eastAsia="zh-CN"/>
        </w:rPr>
        <w:t>各按总数的5%比例进行抽查。</w:t>
      </w:r>
    </w:p>
    <w:p w14:paraId="429446E4">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6" w:firstLineChars="200"/>
        <w:jc w:val="left"/>
        <w:textAlignment w:val="auto"/>
        <w:rPr>
          <w:rFonts w:hint="eastAsia" w:ascii="仿宋_GB2312" w:hAnsi="Calibri" w:eastAsia="仿宋_GB2312" w:cs="Times New Roman"/>
          <w:b w:val="0"/>
          <w:bCs w:val="0"/>
          <w:color w:val="000000"/>
          <w:w w:val="101"/>
          <w:sz w:val="32"/>
          <w:szCs w:val="32"/>
          <w:lang w:val="en-US" w:eastAsia="zh-CN"/>
        </w:rPr>
      </w:pPr>
      <w:r>
        <w:rPr>
          <w:rFonts w:hint="eastAsia" w:ascii="仿宋_GB2312" w:hAnsi="Calibri" w:eastAsia="仿宋_GB2312" w:cs="Times New Roman"/>
          <w:b w:val="0"/>
          <w:bCs w:val="0"/>
          <w:color w:val="000000"/>
          <w:w w:val="101"/>
          <w:sz w:val="32"/>
          <w:szCs w:val="32"/>
          <w:lang w:val="en-US" w:eastAsia="zh-CN"/>
        </w:rPr>
        <w:t>3、上年度新开办零售药店要全部纳入本年度检查计划，各市场监管所、药化股、药化稽查队定期汇总共享检查信息，避免重复抽查，提高监督检查覆盖率。</w:t>
      </w:r>
    </w:p>
    <w:p w14:paraId="0ED0C21D">
      <w:pPr>
        <w:keepNext w:val="0"/>
        <w:keepLines w:val="0"/>
        <w:pageBreakBefore w:val="0"/>
        <w:widowControl w:val="0"/>
        <w:kinsoku/>
        <w:wordWrap/>
        <w:overflowPunct w:val="0"/>
        <w:topLinePunct w:val="0"/>
        <w:autoSpaceDE/>
        <w:autoSpaceDN/>
        <w:bidi w:val="0"/>
        <w:adjustRightInd w:val="0"/>
        <w:snapToGrid w:val="0"/>
        <w:spacing w:line="560" w:lineRule="exact"/>
        <w:ind w:firstLine="646" w:firstLineChars="200"/>
        <w:jc w:val="left"/>
        <w:textAlignment w:val="auto"/>
        <w:rPr>
          <w:rFonts w:hint="eastAsia" w:ascii="仿宋_GB2312" w:eastAsia="仿宋_GB2312"/>
          <w:color w:val="000000"/>
          <w:sz w:val="32"/>
          <w:szCs w:val="32"/>
        </w:rPr>
      </w:pPr>
      <w:r>
        <w:rPr>
          <w:rFonts w:hint="eastAsia" w:ascii="仿宋_GB2312" w:hAnsi="Calibri" w:eastAsia="仿宋_GB2312" w:cs="Times New Roman"/>
          <w:b w:val="0"/>
          <w:bCs w:val="0"/>
          <w:color w:val="000000"/>
          <w:w w:val="101"/>
          <w:sz w:val="32"/>
          <w:szCs w:val="32"/>
          <w:lang w:val="en-US" w:eastAsia="zh-CN"/>
        </w:rPr>
        <w:t>药化稽查队、各市场监管所要定期将检查发现的药品违法违规行为与药化股信息共享，并将检查有违法违规行为或被立案处理的药品经营使用单位列为重点检查对象。</w:t>
      </w:r>
    </w:p>
    <w:p w14:paraId="41C7EA5C">
      <w:pPr>
        <w:keepNext w:val="0"/>
        <w:keepLines w:val="0"/>
        <w:pageBreakBefore w:val="0"/>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000000"/>
          <w:sz w:val="32"/>
          <w:szCs w:val="32"/>
          <w:lang w:val="en"/>
        </w:rPr>
      </w:pPr>
      <w:r>
        <w:rPr>
          <w:rFonts w:hint="eastAsia" w:ascii="黑体" w:hAnsi="黑体" w:eastAsia="黑体" w:cs="黑体"/>
          <w:color w:val="000000"/>
          <w:sz w:val="32"/>
          <w:szCs w:val="32"/>
          <w:lang w:val="en"/>
        </w:rPr>
        <w:t>二、严厉打击非法渠道购进药品</w:t>
      </w:r>
    </w:p>
    <w:p w14:paraId="23882F47">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sz w:val="32"/>
          <w:szCs w:val="32"/>
          <w:lang w:val="en"/>
        </w:rPr>
      </w:pPr>
      <w:r>
        <w:rPr>
          <w:rFonts w:hint="eastAsia" w:ascii="仿宋_GB2312" w:eastAsia="仿宋_GB2312"/>
          <w:color w:val="000000"/>
          <w:sz w:val="32"/>
          <w:szCs w:val="32"/>
          <w:lang w:val="en-US" w:eastAsia="zh-CN"/>
        </w:rPr>
        <w:t>药化股、药化稽查大队、各市场监管所</w:t>
      </w:r>
      <w:r>
        <w:rPr>
          <w:rFonts w:hint="eastAsia" w:ascii="仿宋_GB2312" w:eastAsia="仿宋_GB2312"/>
          <w:color w:val="000000"/>
          <w:sz w:val="32"/>
          <w:szCs w:val="32"/>
          <w:lang w:val="en"/>
        </w:rPr>
        <w:t>要综合运用有因检查、飞行检查、延伸检查等方式，充分利用省药监局药品追溯监管系统，加强智慧监管，对检查发现的问题线索，要深挖细查，彻底排查可疑药品来源和流向。加强与公安、卫生健康、医保等部门协作，对违法行为实施全链条打击，对违法企业严惩重处；涉嫌违法犯罪的，及时移送公安机关；涉及欺诈骗保的，及时移送医保部门。要加大典型案件曝光力度，强化警示震慑效应。</w:t>
      </w:r>
    </w:p>
    <w:p w14:paraId="6CBF5CBB">
      <w:pPr>
        <w:keepNext w:val="0"/>
        <w:keepLines w:val="0"/>
        <w:pageBreakBefore w:val="0"/>
        <w:kinsoku/>
        <w:wordWrap/>
        <w:overflowPunct w:val="0"/>
        <w:topLinePunct w:val="0"/>
        <w:autoSpaceDE/>
        <w:autoSpaceDN/>
        <w:bidi w:val="0"/>
        <w:adjustRightInd w:val="0"/>
        <w:snapToGrid w:val="0"/>
        <w:spacing w:line="560" w:lineRule="exact"/>
        <w:ind w:firstLine="640" w:firstLineChars="200"/>
        <w:jc w:val="left"/>
        <w:textAlignment w:val="auto"/>
        <w:rPr>
          <w:rFonts w:ascii="黑体" w:hAnsi="黑体" w:eastAsia="黑体" w:cs="黑体"/>
          <w:color w:val="000000"/>
          <w:sz w:val="32"/>
          <w:szCs w:val="32"/>
        </w:rPr>
      </w:pPr>
      <w:r>
        <w:rPr>
          <w:rFonts w:hint="eastAsia" w:ascii="黑体" w:hAnsi="黑体" w:eastAsia="黑体" w:cs="黑体"/>
          <w:color w:val="000000"/>
          <w:sz w:val="32"/>
          <w:szCs w:val="32"/>
          <w:lang w:val="en"/>
        </w:rPr>
        <w:t>三、着力开展</w:t>
      </w:r>
      <w:r>
        <w:rPr>
          <w:rFonts w:ascii="黑体" w:hAnsi="黑体" w:eastAsia="黑体" w:cs="黑体"/>
          <w:color w:val="000000"/>
          <w:sz w:val="32"/>
          <w:szCs w:val="32"/>
        </w:rPr>
        <w:t>药品</w:t>
      </w:r>
      <w:r>
        <w:rPr>
          <w:rFonts w:hint="eastAsia" w:ascii="黑体" w:hAnsi="黑体" w:eastAsia="黑体" w:cs="黑体"/>
          <w:color w:val="000000"/>
          <w:sz w:val="32"/>
          <w:szCs w:val="32"/>
          <w:lang w:val="en"/>
        </w:rPr>
        <w:t>网络销售环节监管</w:t>
      </w:r>
    </w:p>
    <w:p w14:paraId="265EF136">
      <w:pPr>
        <w:keepNext w:val="0"/>
        <w:keepLines w:val="0"/>
        <w:pageBreakBefore w:val="0"/>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仿宋" w:eastAsia="仿宋_GB2312"/>
          <w:color w:val="000000"/>
          <w:sz w:val="32"/>
          <w:szCs w:val="32"/>
          <w:lang w:val="en"/>
        </w:rPr>
      </w:pPr>
      <w:r>
        <w:rPr>
          <w:rFonts w:hint="eastAsia" w:ascii="仿宋_GB2312" w:hAnsi="仿宋" w:eastAsia="仿宋_GB2312"/>
          <w:color w:val="000000"/>
          <w:sz w:val="32"/>
          <w:szCs w:val="32"/>
          <w:lang w:val="en"/>
        </w:rPr>
        <w:t>坚持以网管网、以快治快，加强对药品网络销售企业实施线上线下一体化监督检查。强化药品网络销售监测，对易引发舆情风险的药品开展专项监测，及时发现处置风险信号，提高药品网络销售违法违规线索调查处置效率，严格按规定时限处置到位。加强药品网络销售跨区域监管、案件协查和信息通报，对违法行为采取下架产品、屏蔽信息等风险控制措施。建立与卫生健康、</w:t>
      </w:r>
      <w:r>
        <w:rPr>
          <w:rFonts w:ascii="仿宋_GB2312" w:hAnsi="仿宋" w:eastAsia="仿宋_GB2312"/>
          <w:color w:val="000000"/>
          <w:sz w:val="32"/>
          <w:szCs w:val="32"/>
        </w:rPr>
        <w:t>医疗</w:t>
      </w:r>
      <w:r>
        <w:rPr>
          <w:rFonts w:hint="eastAsia" w:ascii="仿宋_GB2312" w:hAnsi="仿宋" w:eastAsia="仿宋_GB2312"/>
          <w:color w:val="000000"/>
          <w:sz w:val="32"/>
          <w:szCs w:val="32"/>
          <w:lang w:val="en"/>
        </w:rPr>
        <w:t>保</w:t>
      </w:r>
      <w:r>
        <w:rPr>
          <w:rFonts w:ascii="仿宋_GB2312" w:hAnsi="仿宋" w:eastAsia="仿宋_GB2312"/>
          <w:color w:val="000000"/>
          <w:sz w:val="32"/>
          <w:szCs w:val="32"/>
        </w:rPr>
        <w:t>障、通信管理</w:t>
      </w:r>
      <w:r>
        <w:rPr>
          <w:rFonts w:hint="eastAsia" w:ascii="仿宋_GB2312" w:hAnsi="仿宋" w:eastAsia="仿宋_GB2312"/>
          <w:color w:val="000000"/>
          <w:sz w:val="32"/>
          <w:szCs w:val="32"/>
          <w:lang w:val="en"/>
        </w:rPr>
        <w:t>等部门信息共享和共商共治</w:t>
      </w:r>
      <w:r>
        <w:rPr>
          <w:rFonts w:ascii="仿宋_GB2312" w:hAnsi="仿宋" w:eastAsia="仿宋_GB2312"/>
          <w:color w:val="000000"/>
          <w:sz w:val="32"/>
          <w:szCs w:val="32"/>
        </w:rPr>
        <w:t>机制，形成监管合力</w:t>
      </w:r>
      <w:r>
        <w:rPr>
          <w:rFonts w:hint="eastAsia" w:ascii="仿宋_GB2312" w:hAnsi="仿宋" w:eastAsia="仿宋_GB2312"/>
          <w:color w:val="000000"/>
          <w:sz w:val="32"/>
          <w:szCs w:val="32"/>
          <w:lang w:val="en"/>
        </w:rPr>
        <w:t>。</w:t>
      </w:r>
    </w:p>
    <w:p w14:paraId="77CE3F08">
      <w:pPr>
        <w:keepNext w:val="0"/>
        <w:keepLines w:val="0"/>
        <w:pageBreakBefore w:val="0"/>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000000"/>
          <w:sz w:val="32"/>
          <w:szCs w:val="32"/>
          <w:lang w:val="en"/>
        </w:rPr>
      </w:pPr>
      <w:r>
        <w:rPr>
          <w:rFonts w:hint="eastAsia" w:ascii="黑体" w:hAnsi="黑体" w:eastAsia="黑体" w:cs="黑体"/>
          <w:color w:val="000000"/>
          <w:sz w:val="32"/>
          <w:szCs w:val="32"/>
          <w:lang w:val="en"/>
        </w:rPr>
        <w:t>四、全面推进集采中选药品监管</w:t>
      </w:r>
    </w:p>
    <w:p w14:paraId="7E897583">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000000"/>
          <w:sz w:val="32"/>
          <w:szCs w:val="32"/>
          <w:lang w:val="en"/>
        </w:rPr>
      </w:pPr>
      <w:r>
        <w:rPr>
          <w:rFonts w:hint="eastAsia" w:ascii="仿宋_GB2312" w:eastAsia="仿宋_GB2312"/>
          <w:color w:val="000000"/>
          <w:sz w:val="32"/>
          <w:szCs w:val="32"/>
          <w:lang w:val="en-US" w:eastAsia="zh-CN"/>
        </w:rPr>
        <w:t>药化股、药化稽查大队、各市场监管所</w:t>
      </w:r>
      <w:r>
        <w:rPr>
          <w:rFonts w:hint="eastAsia" w:ascii="仿宋_GB2312" w:hAnsi="仿宋" w:eastAsia="仿宋_GB2312"/>
          <w:color w:val="000000"/>
          <w:sz w:val="32"/>
          <w:szCs w:val="32"/>
          <w:lang w:val="en"/>
        </w:rPr>
        <w:t>要根据《关于协同做好集中带量采购中选药品质量保障工作的通知》（豫药监生〔2024〕83号）和《关于更新集中带量采购中选药品清单的通知》（豫药监生函〔2025〕13号）要求，依职责制定经营使用环节本年度监督检查任务。集采中选药品质量监督检查可与其他检查工作融合统筹，有序组织。参照集中带量采购中选药品清单，重点关注易降解、易吸湿、易漏液、易污染药品和价格降幅大的品种，对发现存在质量问题的，依法予以处置。</w:t>
      </w:r>
    </w:p>
    <w:p w14:paraId="4E5A8EF0">
      <w:pPr>
        <w:keepNext w:val="0"/>
        <w:keepLines w:val="0"/>
        <w:pageBreakBefore w:val="0"/>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五、深入开展特殊药品监管</w:t>
      </w:r>
    </w:p>
    <w:p w14:paraId="63EA7135">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000000"/>
          <w:sz w:val="32"/>
          <w:szCs w:val="32"/>
          <w:lang w:val="en"/>
        </w:rPr>
      </w:pPr>
      <w:r>
        <w:rPr>
          <w:rFonts w:hint="eastAsia" w:ascii="仿宋_GB2312" w:eastAsia="仿宋_GB2312"/>
          <w:color w:val="000000"/>
          <w:sz w:val="32"/>
          <w:szCs w:val="32"/>
          <w:lang w:val="en-US" w:eastAsia="zh-CN"/>
        </w:rPr>
        <w:t>局药化股、药化稽查大队、各市场监管所</w:t>
      </w:r>
      <w:r>
        <w:rPr>
          <w:rFonts w:hint="eastAsia" w:ascii="仿宋_GB2312" w:eastAsia="仿宋_GB2312"/>
          <w:color w:val="000000"/>
          <w:sz w:val="32"/>
          <w:szCs w:val="32"/>
        </w:rPr>
        <w:t>要结合</w:t>
      </w:r>
      <w:r>
        <w:rPr>
          <w:rFonts w:hint="eastAsia" w:ascii="仿宋_GB2312" w:eastAsia="仿宋_GB2312"/>
          <w:color w:val="000000"/>
          <w:sz w:val="32"/>
          <w:szCs w:val="32"/>
          <w:lang w:eastAsia="zh-CN"/>
        </w:rPr>
        <w:t>辖区</w:t>
      </w:r>
      <w:r>
        <w:rPr>
          <w:rFonts w:hint="eastAsia" w:ascii="仿宋_GB2312" w:eastAsia="仿宋_GB2312"/>
          <w:color w:val="000000"/>
          <w:sz w:val="32"/>
          <w:szCs w:val="32"/>
        </w:rPr>
        <w:t>的药物滥用流行趋势、特殊药品安全管理主体责任落实等情况，将监督检查、有因检查和专项检查有机结合，强化重点品种、重点</w:t>
      </w:r>
      <w:r>
        <w:rPr>
          <w:rFonts w:hint="eastAsia" w:ascii="仿宋_GB2312" w:eastAsia="仿宋_GB2312"/>
          <w:color w:val="000000"/>
          <w:sz w:val="32"/>
          <w:szCs w:val="32"/>
          <w:lang w:eastAsia="zh-CN"/>
        </w:rPr>
        <w:t>单位</w:t>
      </w:r>
      <w:r>
        <w:rPr>
          <w:rFonts w:hint="eastAsia" w:ascii="仿宋_GB2312" w:eastAsia="仿宋_GB2312"/>
          <w:color w:val="000000"/>
          <w:sz w:val="32"/>
          <w:szCs w:val="32"/>
        </w:rPr>
        <w:t>和重点环节监管。加强对右美沙芬等2023年以来新列管药品、芬太尼类药品、集采中选特殊药品、含兴奋剂药品、肉毒毒素等</w:t>
      </w:r>
      <w:r>
        <w:rPr>
          <w:rFonts w:hint="eastAsia" w:ascii="仿宋_GB2312" w:eastAsia="仿宋_GB2312"/>
          <w:color w:val="000000"/>
          <w:sz w:val="32"/>
          <w:szCs w:val="32"/>
          <w:lang w:eastAsia="zh-CN"/>
        </w:rPr>
        <w:t>药品</w:t>
      </w:r>
      <w:r>
        <w:rPr>
          <w:rFonts w:hint="eastAsia" w:ascii="仿宋_GB2312" w:eastAsia="仿宋_GB2312"/>
          <w:color w:val="000000"/>
          <w:sz w:val="32"/>
          <w:szCs w:val="32"/>
        </w:rPr>
        <w:t>的监督管理，重点核查购销渠道管理、无资质销售新列管药品等情况。</w:t>
      </w:r>
      <w:r>
        <w:rPr>
          <w:rFonts w:hint="eastAsia" w:ascii="仿宋_GB2312" w:hAnsi="仿宋" w:eastAsia="仿宋_GB2312"/>
          <w:color w:val="000000"/>
          <w:sz w:val="32"/>
          <w:szCs w:val="32"/>
          <w:lang w:val="en"/>
        </w:rPr>
        <w:t>督促相关企业和医疗机构落实特殊药品安全管理主体责任，切实防范特殊管理药品流入非法渠道。发现医疗机构违规购进麻精药品的，及时通报同级卫生健康部门。</w:t>
      </w:r>
    </w:p>
    <w:p w14:paraId="4CE986B5">
      <w:pPr>
        <w:keepNext w:val="0"/>
        <w:keepLines w:val="0"/>
        <w:pageBreakBefore w:val="0"/>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000000"/>
          <w:sz w:val="32"/>
          <w:szCs w:val="32"/>
          <w:lang w:val="en"/>
        </w:rPr>
      </w:pPr>
      <w:r>
        <w:rPr>
          <w:rFonts w:hint="eastAsia" w:ascii="黑体" w:hAnsi="黑体" w:eastAsia="黑体" w:cs="黑体"/>
          <w:color w:val="000000"/>
          <w:sz w:val="32"/>
          <w:szCs w:val="32"/>
          <w:lang w:val="en"/>
        </w:rPr>
        <w:t>六、</w:t>
      </w:r>
      <w:r>
        <w:rPr>
          <w:rFonts w:hint="eastAsia" w:ascii="黑体" w:hAnsi="黑体" w:eastAsia="黑体" w:cs="黑体"/>
          <w:color w:val="000000"/>
          <w:sz w:val="32"/>
          <w:szCs w:val="32"/>
        </w:rPr>
        <w:t>持续加强</w:t>
      </w:r>
      <w:r>
        <w:rPr>
          <w:rFonts w:hint="eastAsia" w:ascii="黑体" w:hAnsi="黑体" w:eastAsia="黑体" w:cs="黑体"/>
          <w:color w:val="000000"/>
          <w:sz w:val="32"/>
          <w:szCs w:val="32"/>
          <w:lang w:val="en"/>
        </w:rPr>
        <w:t>中药重点品种监管</w:t>
      </w:r>
    </w:p>
    <w:p w14:paraId="6921E606">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000000"/>
          <w:sz w:val="32"/>
          <w:szCs w:val="32"/>
          <w:lang w:val="en"/>
        </w:rPr>
      </w:pPr>
      <w:r>
        <w:rPr>
          <w:rFonts w:hint="eastAsia" w:ascii="仿宋_GB2312" w:hAnsi="仿宋" w:eastAsia="仿宋_GB2312"/>
          <w:color w:val="000000"/>
          <w:sz w:val="32"/>
          <w:szCs w:val="32"/>
          <w:lang w:val="en"/>
        </w:rPr>
        <w:t>严格开展中药注射剂、中药配方颗粒及珍稀濒危中药材、医疗用毒性中药材等相关中成药、中药饮片的经营和使用质量管理。着力对现行标准控制水平较低、中西复方、珍稀濒危及医疗用毒性相关中药、中药注射剂、中药配方颗粒、医疗机构制剂等重点品种开展监督检查。</w:t>
      </w:r>
    </w:p>
    <w:p w14:paraId="2981A4A7">
      <w:pPr>
        <w:keepNext w:val="0"/>
        <w:keepLines w:val="0"/>
        <w:pageBreakBefore w:val="0"/>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000000"/>
          <w:sz w:val="32"/>
          <w:szCs w:val="32"/>
          <w:lang w:val="en"/>
        </w:rPr>
      </w:pPr>
      <w:r>
        <w:rPr>
          <w:rFonts w:hint="eastAsia" w:ascii="黑体" w:hAnsi="黑体" w:eastAsia="黑体" w:cs="黑体"/>
          <w:color w:val="000000"/>
          <w:sz w:val="32"/>
          <w:szCs w:val="32"/>
          <w:lang w:val="en"/>
        </w:rPr>
        <w:t>七、持续完善</w:t>
      </w:r>
      <w:r>
        <w:rPr>
          <w:rFonts w:ascii="黑体" w:hAnsi="黑体" w:eastAsia="黑体" w:cs="黑体"/>
          <w:color w:val="000000"/>
          <w:sz w:val="32"/>
          <w:szCs w:val="32"/>
        </w:rPr>
        <w:t>药品流通</w:t>
      </w:r>
      <w:r>
        <w:rPr>
          <w:rFonts w:hint="eastAsia" w:ascii="黑体" w:hAnsi="黑体" w:eastAsia="黑体" w:cs="黑体"/>
          <w:color w:val="000000"/>
          <w:sz w:val="32"/>
          <w:szCs w:val="32"/>
          <w:lang w:val="en"/>
        </w:rPr>
        <w:t>安全风险会商</w:t>
      </w:r>
    </w:p>
    <w:p w14:paraId="0EC1A78F">
      <w:pPr>
        <w:keepNext w:val="0"/>
        <w:keepLines w:val="0"/>
        <w:pageBreakBefore w:val="0"/>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仿宋" w:eastAsia="仿宋_GB2312"/>
          <w:color w:val="000000"/>
          <w:sz w:val="32"/>
          <w:szCs w:val="32"/>
          <w:lang w:val="en"/>
        </w:rPr>
      </w:pPr>
      <w:r>
        <w:rPr>
          <w:rFonts w:hint="eastAsia" w:ascii="仿宋_GB2312" w:eastAsia="仿宋_GB2312"/>
          <w:color w:val="000000"/>
          <w:sz w:val="32"/>
          <w:szCs w:val="32"/>
          <w:lang w:val="en-US" w:eastAsia="zh-CN"/>
        </w:rPr>
        <w:t>局药化股牵头</w:t>
      </w:r>
      <w:r>
        <w:rPr>
          <w:rFonts w:hint="eastAsia" w:ascii="仿宋_GB2312" w:hAnsi="仿宋" w:eastAsia="仿宋_GB2312"/>
          <w:color w:val="000000"/>
          <w:sz w:val="32"/>
          <w:szCs w:val="32"/>
          <w:lang w:val="en"/>
        </w:rPr>
        <w:t>落实药品安全责任，</w:t>
      </w:r>
      <w:r>
        <w:rPr>
          <w:rFonts w:hint="eastAsia" w:ascii="仿宋_GB2312" w:hAnsi="仿宋" w:eastAsia="仿宋_GB2312"/>
          <w:color w:val="000000"/>
          <w:sz w:val="32"/>
          <w:szCs w:val="32"/>
          <w:lang w:val="en-US" w:eastAsia="zh-CN"/>
        </w:rPr>
        <w:t>联合药化稽查队、各市场监管所</w:t>
      </w:r>
      <w:r>
        <w:rPr>
          <w:rFonts w:hint="eastAsia" w:ascii="仿宋_GB2312" w:hAnsi="仿宋" w:eastAsia="仿宋_GB2312"/>
          <w:color w:val="000000"/>
          <w:sz w:val="32"/>
          <w:szCs w:val="32"/>
          <w:lang w:val="en"/>
        </w:rPr>
        <w:t>持续完善药品流通安全风险会商机制，通过开展定期会商和专题会商，系统梳理</w:t>
      </w:r>
      <w:r>
        <w:rPr>
          <w:rFonts w:ascii="仿宋_GB2312" w:hAnsi="仿宋" w:eastAsia="仿宋_GB2312"/>
          <w:color w:val="000000"/>
          <w:sz w:val="32"/>
          <w:szCs w:val="32"/>
        </w:rPr>
        <w:t>流通</w:t>
      </w:r>
      <w:r>
        <w:rPr>
          <w:rFonts w:hint="eastAsia" w:ascii="仿宋_GB2312" w:hAnsi="仿宋" w:eastAsia="仿宋_GB2312"/>
          <w:color w:val="000000"/>
          <w:sz w:val="32"/>
          <w:szCs w:val="32"/>
          <w:lang w:val="en"/>
        </w:rPr>
        <w:t>环节各领域的风险信号，及时发现潜在隐患，强化风险沟通传递，科学研判风险级别，制定有效监管措施，实现风险闭环管理。完善药品安全责任约谈机制，定期评估和分析本</w:t>
      </w:r>
      <w:r>
        <w:rPr>
          <w:rFonts w:hint="eastAsia" w:ascii="仿宋_GB2312" w:hAnsi="仿宋" w:eastAsia="仿宋_GB2312"/>
          <w:color w:val="000000"/>
          <w:sz w:val="32"/>
          <w:szCs w:val="32"/>
          <w:lang w:val="en" w:eastAsia="zh-CN"/>
        </w:rPr>
        <w:t>辖区</w:t>
      </w:r>
      <w:r>
        <w:rPr>
          <w:rFonts w:hint="eastAsia" w:ascii="仿宋_GB2312" w:hAnsi="仿宋" w:eastAsia="仿宋_GB2312"/>
          <w:color w:val="000000"/>
          <w:sz w:val="32"/>
          <w:szCs w:val="32"/>
          <w:lang w:val="en"/>
        </w:rPr>
        <w:t>药品</w:t>
      </w:r>
      <w:r>
        <w:rPr>
          <w:rFonts w:ascii="仿宋_GB2312" w:hAnsi="仿宋" w:eastAsia="仿宋_GB2312"/>
          <w:color w:val="000000"/>
          <w:sz w:val="32"/>
          <w:szCs w:val="32"/>
        </w:rPr>
        <w:t>经营使用</w:t>
      </w:r>
      <w:r>
        <w:rPr>
          <w:rFonts w:hint="eastAsia" w:ascii="仿宋_GB2312" w:hAnsi="仿宋" w:eastAsia="仿宋_GB2312"/>
          <w:color w:val="000000"/>
          <w:sz w:val="32"/>
          <w:szCs w:val="32"/>
          <w:lang w:val="en"/>
        </w:rPr>
        <w:t>安全状况。</w:t>
      </w:r>
    </w:p>
    <w:p w14:paraId="1C689685">
      <w:pPr>
        <w:keepNext w:val="0"/>
        <w:keepLines w:val="0"/>
        <w:pageBreakBefore w:val="0"/>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000000"/>
          <w:sz w:val="32"/>
          <w:szCs w:val="32"/>
          <w:lang w:val="en"/>
        </w:rPr>
      </w:pPr>
      <w:r>
        <w:rPr>
          <w:rFonts w:hint="eastAsia" w:ascii="黑体" w:hAnsi="黑体" w:eastAsia="黑体" w:cs="黑体"/>
          <w:color w:val="000000"/>
          <w:sz w:val="32"/>
          <w:szCs w:val="32"/>
          <w:lang w:val="en"/>
        </w:rPr>
        <w:t>八、扎实推进药品追溯体系建设</w:t>
      </w:r>
    </w:p>
    <w:p w14:paraId="37BF1637">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000000"/>
          <w:sz w:val="32"/>
          <w:szCs w:val="32"/>
          <w:lang w:val="en"/>
        </w:rPr>
      </w:pPr>
      <w:r>
        <w:rPr>
          <w:rFonts w:hint="eastAsia" w:ascii="仿宋_GB2312" w:hAnsi="仿宋" w:eastAsia="仿宋_GB2312"/>
          <w:color w:val="000000"/>
          <w:sz w:val="32"/>
          <w:szCs w:val="32"/>
          <w:lang w:val="en-US" w:eastAsia="zh-CN"/>
        </w:rPr>
        <w:t>局药化股负责</w:t>
      </w:r>
      <w:r>
        <w:rPr>
          <w:rFonts w:hint="eastAsia" w:ascii="仿宋_GB2312" w:hAnsi="仿宋" w:eastAsia="仿宋_GB2312"/>
          <w:color w:val="000000"/>
          <w:sz w:val="32"/>
          <w:szCs w:val="32"/>
          <w:lang w:val="en"/>
        </w:rPr>
        <w:t>贯彻《</w:t>
      </w:r>
      <w:r>
        <w:rPr>
          <w:rFonts w:hint="eastAsia" w:ascii="仿宋_GB2312" w:hAnsi="仿宋" w:eastAsia="仿宋_GB2312"/>
          <w:color w:val="000000"/>
          <w:sz w:val="32"/>
          <w:szCs w:val="32"/>
          <w:lang w:val="en" w:eastAsia="zh-CN"/>
        </w:rPr>
        <w:t>转发河南省医疗保障局</w:t>
      </w:r>
      <w:r>
        <w:rPr>
          <w:rFonts w:hint="eastAsia" w:ascii="仿宋_GB2312" w:hAnsi="仿宋" w:eastAsia="仿宋_GB2312"/>
          <w:color w:val="000000"/>
          <w:sz w:val="32"/>
          <w:szCs w:val="32"/>
          <w:lang w:val="en"/>
        </w:rPr>
        <w:t>河南省</w:t>
      </w:r>
      <w:r>
        <w:rPr>
          <w:rFonts w:hint="eastAsia" w:ascii="仿宋_GB2312" w:hAnsi="仿宋" w:eastAsia="仿宋_GB2312"/>
          <w:color w:val="000000"/>
          <w:sz w:val="32"/>
          <w:szCs w:val="32"/>
          <w:lang w:val="en" w:eastAsia="zh-CN"/>
        </w:rPr>
        <w:t>卫生健康委员会河南省药品监督管理局关于印发</w:t>
      </w:r>
      <w:r>
        <w:rPr>
          <w:rFonts w:hint="eastAsia" w:ascii="华文仿宋" w:hAnsi="华文仿宋" w:eastAsia="华文仿宋" w:cs="华文仿宋"/>
          <w:color w:val="000000"/>
          <w:sz w:val="32"/>
          <w:szCs w:val="32"/>
          <w:lang w:val="en" w:eastAsia="zh-CN"/>
        </w:rPr>
        <w:t>&lt;</w:t>
      </w:r>
      <w:r>
        <w:rPr>
          <w:rFonts w:hint="eastAsia" w:ascii="仿宋_GB2312" w:hAnsi="仿宋" w:eastAsia="仿宋_GB2312"/>
          <w:color w:val="000000"/>
          <w:sz w:val="32"/>
          <w:szCs w:val="32"/>
          <w:lang w:val="en" w:eastAsia="zh-CN"/>
        </w:rPr>
        <w:t>河南省</w:t>
      </w:r>
      <w:r>
        <w:rPr>
          <w:rFonts w:hint="eastAsia" w:ascii="仿宋_GB2312" w:hAnsi="仿宋" w:eastAsia="仿宋_GB2312"/>
          <w:color w:val="000000"/>
          <w:sz w:val="32"/>
          <w:szCs w:val="32"/>
          <w:lang w:val="en"/>
        </w:rPr>
        <w:t>药品经营使用环节全品种追溯体系建设工作方案</w:t>
      </w:r>
      <w:r>
        <w:rPr>
          <w:rFonts w:hint="eastAsia" w:ascii="华文仿宋" w:hAnsi="华文仿宋" w:eastAsia="华文仿宋" w:cs="华文仿宋"/>
          <w:color w:val="000000"/>
          <w:sz w:val="32"/>
          <w:szCs w:val="32"/>
          <w:lang w:val="en"/>
        </w:rPr>
        <w:t>&gt;</w:t>
      </w:r>
      <w:r>
        <w:rPr>
          <w:rFonts w:hint="eastAsia" w:ascii="仿宋_GB2312" w:hAnsi="仿宋" w:eastAsia="仿宋_GB2312"/>
          <w:color w:val="000000"/>
          <w:sz w:val="32"/>
          <w:szCs w:val="32"/>
          <w:lang w:val="en" w:eastAsia="zh-CN"/>
        </w:rPr>
        <w:t>的通知</w:t>
      </w:r>
      <w:r>
        <w:rPr>
          <w:rFonts w:hint="eastAsia" w:ascii="仿宋_GB2312" w:hAnsi="仿宋" w:eastAsia="仿宋_GB2312"/>
          <w:color w:val="000000"/>
          <w:sz w:val="32"/>
          <w:szCs w:val="32"/>
          <w:lang w:val="en"/>
        </w:rPr>
        <w:t>》（</w:t>
      </w:r>
      <w:r>
        <w:rPr>
          <w:rFonts w:hint="eastAsia" w:ascii="仿宋_GB2312" w:hAnsi="仿宋" w:eastAsia="仿宋_GB2312"/>
          <w:color w:val="000000"/>
          <w:sz w:val="32"/>
          <w:szCs w:val="32"/>
          <w:lang w:val="en" w:eastAsia="zh-CN"/>
        </w:rPr>
        <w:t>宛</w:t>
      </w:r>
      <w:r>
        <w:rPr>
          <w:rFonts w:hint="eastAsia" w:ascii="仿宋_GB2312" w:hAnsi="仿宋" w:eastAsia="仿宋_GB2312"/>
          <w:color w:val="000000"/>
          <w:sz w:val="32"/>
          <w:szCs w:val="32"/>
          <w:lang w:val="en"/>
        </w:rPr>
        <w:t>医保办〔2024〕</w:t>
      </w:r>
      <w:r>
        <w:rPr>
          <w:rFonts w:hint="eastAsia" w:ascii="仿宋_GB2312" w:hAnsi="仿宋" w:eastAsia="仿宋_GB2312"/>
          <w:color w:val="000000"/>
          <w:sz w:val="32"/>
          <w:szCs w:val="32"/>
          <w:lang w:val="en-US" w:eastAsia="zh-CN"/>
        </w:rPr>
        <w:t>48</w:t>
      </w:r>
      <w:r>
        <w:rPr>
          <w:rFonts w:hint="eastAsia" w:ascii="仿宋_GB2312" w:hAnsi="仿宋" w:eastAsia="仿宋_GB2312"/>
          <w:color w:val="000000"/>
          <w:sz w:val="32"/>
          <w:szCs w:val="32"/>
          <w:lang w:val="en"/>
        </w:rPr>
        <w:t>号）</w:t>
      </w:r>
      <w:r>
        <w:rPr>
          <w:rFonts w:hint="eastAsia" w:ascii="仿宋_GB2312" w:hAnsi="仿宋" w:eastAsia="仿宋_GB2312"/>
          <w:color w:val="000000"/>
          <w:sz w:val="32"/>
          <w:szCs w:val="32"/>
          <w:lang w:val="en-US" w:eastAsia="zh-CN"/>
        </w:rPr>
        <w:t>精神</w:t>
      </w:r>
      <w:r>
        <w:rPr>
          <w:rFonts w:hint="eastAsia" w:ascii="仿宋_GB2312" w:hAnsi="仿宋" w:eastAsia="仿宋_GB2312"/>
          <w:color w:val="000000"/>
          <w:sz w:val="32"/>
          <w:szCs w:val="32"/>
          <w:lang w:val="en"/>
        </w:rPr>
        <w:t>，</w:t>
      </w:r>
      <w:r>
        <w:rPr>
          <w:rFonts w:hint="eastAsia" w:ascii="仿宋_GB2312" w:hAnsi="仿宋" w:eastAsia="仿宋_GB2312"/>
          <w:color w:val="000000"/>
          <w:sz w:val="32"/>
          <w:szCs w:val="32"/>
          <w:lang w:val="en-US" w:eastAsia="zh-CN"/>
        </w:rPr>
        <w:t>牵头推进</w:t>
      </w:r>
      <w:r>
        <w:rPr>
          <w:rFonts w:hint="eastAsia" w:ascii="仿宋_GB2312" w:hAnsi="仿宋" w:eastAsia="仿宋_GB2312"/>
          <w:color w:val="000000"/>
          <w:sz w:val="32"/>
          <w:szCs w:val="32"/>
          <w:lang w:val="en"/>
        </w:rPr>
        <w:t>落实药品经营企业和使用单位主体责任，完成年度药品追溯体系建设目标任务，加强追溯数据在药品流通监管中的应用，提升监管效能。</w:t>
      </w:r>
    </w:p>
    <w:p w14:paraId="19AA86D8">
      <w:pPr>
        <w:keepNext w:val="0"/>
        <w:keepLines w:val="0"/>
        <w:pageBreakBefore w:val="0"/>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000000"/>
          <w:sz w:val="32"/>
          <w:szCs w:val="32"/>
          <w:lang w:val="en"/>
        </w:rPr>
      </w:pPr>
      <w:r>
        <w:rPr>
          <w:rFonts w:hint="eastAsia" w:ascii="黑体" w:hAnsi="黑体" w:eastAsia="黑体" w:cs="黑体"/>
          <w:color w:val="000000"/>
          <w:sz w:val="32"/>
          <w:szCs w:val="32"/>
          <w:lang w:val="en"/>
        </w:rPr>
        <w:t>九、积极构建协同监管格局</w:t>
      </w:r>
    </w:p>
    <w:p w14:paraId="2CB0390B">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sectPr>
          <w:footerReference r:id="rId3" w:type="default"/>
          <w:footerReference r:id="rId4" w:type="even"/>
          <w:type w:val="continuous"/>
          <w:pgSz w:w="11906" w:h="16838"/>
          <w:pgMar w:top="2041" w:right="1474" w:bottom="1757" w:left="1588" w:header="851" w:footer="1474" w:gutter="0"/>
          <w:pgNumType w:fmt="decimal"/>
          <w:cols w:space="720" w:num="1"/>
          <w:docGrid w:type="lines" w:linePitch="312" w:charSpace="0"/>
        </w:sectPr>
      </w:pPr>
      <w:r>
        <w:rPr>
          <w:rFonts w:hint="eastAsia" w:ascii="仿宋_GB2312" w:eastAsia="仿宋_GB2312"/>
          <w:color w:val="000000"/>
          <w:sz w:val="32"/>
          <w:szCs w:val="32"/>
          <w:lang w:val="en-US" w:eastAsia="zh-CN"/>
        </w:rPr>
        <w:t>局药化股牵头</w:t>
      </w:r>
      <w:r>
        <w:rPr>
          <w:rFonts w:hint="eastAsia" w:ascii="仿宋_GB2312" w:hAnsi="仿宋" w:eastAsia="仿宋_GB2312" w:cs="仿宋_GB2312"/>
          <w:color w:val="000000"/>
          <w:sz w:val="32"/>
          <w:szCs w:val="32"/>
          <w:lang w:bidi="ar"/>
        </w:rPr>
        <w:t>深化推进跨部门、跨层级协同监管要求，每半年向上一级部门报告药品监管工作情况；在疫苗等高风险生物制品、集采中选药品、特殊药品、网络销售药品等领域协同监管方面，与有关部门加强信息共享和共商共治，形成部门合力，实施联合惩戒</w:t>
      </w:r>
      <w:r>
        <w:rPr>
          <w:rFonts w:hint="eastAsia" w:ascii="仿宋_GB2312" w:hAnsi="仿宋" w:eastAsia="仿宋_GB2312"/>
          <w:color w:val="000000"/>
          <w:sz w:val="32"/>
          <w:szCs w:val="32"/>
          <w:lang w:val="en"/>
        </w:rPr>
        <w:t>。加强与卫生健康、医保等部门的沟通对接，促进“三医”协同发展和治理。畅通与药品流通企业的交流通道，拓展开展政策咨询、技术指导和监管跟踪服务，点对点解决企业经营发展中的难点堵点问题，努力打造一流营商环境。</w:t>
      </w:r>
    </w:p>
    <w:p w14:paraId="4545AA14">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2025年全</w:t>
      </w:r>
      <w:r>
        <w:rPr>
          <w:rFonts w:hint="eastAsia" w:ascii="方正小标宋_GBK" w:hAnsi="方正小标宋_GBK" w:eastAsia="方正小标宋_GBK" w:cs="方正小标宋_GBK"/>
          <w:sz w:val="44"/>
          <w:szCs w:val="44"/>
          <w:lang w:val="en-US" w:eastAsia="zh-CN"/>
        </w:rPr>
        <w:t>县</w:t>
      </w:r>
      <w:r>
        <w:rPr>
          <w:rFonts w:hint="eastAsia" w:ascii="方正小标宋_GBK" w:hAnsi="方正小标宋_GBK" w:eastAsia="方正小标宋_GBK" w:cs="方正小标宋_GBK"/>
          <w:sz w:val="44"/>
          <w:szCs w:val="44"/>
        </w:rPr>
        <w:t>药品经营使用单位监督检查计划</w:t>
      </w:r>
    </w:p>
    <w:tbl>
      <w:tblPr>
        <w:tblStyle w:val="7"/>
        <w:tblW w:w="14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964"/>
        <w:gridCol w:w="5130"/>
        <w:gridCol w:w="4071"/>
        <w:gridCol w:w="1250"/>
        <w:gridCol w:w="2568"/>
      </w:tblGrid>
      <w:tr w14:paraId="6CB4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574" w:type="dxa"/>
            <w:noWrap w:val="0"/>
            <w:vAlign w:val="center"/>
          </w:tcPr>
          <w:p w14:paraId="448D8305">
            <w:pPr>
              <w:pStyle w:val="2"/>
              <w:keepNext w:val="0"/>
              <w:keepLines w:val="0"/>
              <w:pageBreakBefore w:val="0"/>
              <w:widowControl/>
              <w:kinsoku/>
              <w:wordWrap/>
              <w:overflowPunct/>
              <w:topLinePunct w:val="0"/>
              <w:autoSpaceDE/>
              <w:autoSpaceDN/>
              <w:bidi w:val="0"/>
              <w:adjustRightInd/>
              <w:snapToGrid w:val="0"/>
              <w:spacing w:after="0" w:line="204" w:lineRule="auto"/>
              <w:jc w:val="center"/>
              <w:textAlignment w:val="auto"/>
              <w:rPr>
                <w:rFonts w:hint="eastAsia" w:ascii="黑体" w:hAnsi="黑体" w:eastAsia="黑体"/>
                <w:lang w:eastAsia="zh-CN"/>
              </w:rPr>
            </w:pPr>
            <w:r>
              <w:rPr>
                <w:rFonts w:hint="eastAsia" w:ascii="黑体" w:hAnsi="黑体" w:eastAsia="黑体"/>
                <w:lang w:eastAsia="zh-CN"/>
              </w:rPr>
              <w:t>序号</w:t>
            </w:r>
          </w:p>
        </w:tc>
        <w:tc>
          <w:tcPr>
            <w:tcW w:w="964" w:type="dxa"/>
            <w:noWrap w:val="0"/>
            <w:vAlign w:val="center"/>
          </w:tcPr>
          <w:p w14:paraId="0618037A">
            <w:pPr>
              <w:pStyle w:val="2"/>
              <w:keepNext w:val="0"/>
              <w:keepLines w:val="0"/>
              <w:pageBreakBefore w:val="0"/>
              <w:widowControl/>
              <w:kinsoku/>
              <w:wordWrap/>
              <w:overflowPunct/>
              <w:topLinePunct w:val="0"/>
              <w:autoSpaceDE/>
              <w:autoSpaceDN/>
              <w:bidi w:val="0"/>
              <w:adjustRightInd/>
              <w:snapToGrid w:val="0"/>
              <w:spacing w:after="0" w:line="204" w:lineRule="auto"/>
              <w:jc w:val="center"/>
              <w:textAlignment w:val="auto"/>
              <w:rPr>
                <w:rFonts w:hint="eastAsia" w:ascii="黑体" w:hAnsi="黑体" w:eastAsia="黑体"/>
                <w:lang w:eastAsia="zh-CN"/>
              </w:rPr>
            </w:pPr>
            <w:r>
              <w:rPr>
                <w:rFonts w:hint="eastAsia" w:ascii="黑体" w:hAnsi="黑体" w:eastAsia="黑体"/>
                <w:lang w:eastAsia="zh-CN"/>
              </w:rPr>
              <w:t>检查</w:t>
            </w:r>
          </w:p>
          <w:p w14:paraId="3DE27B6E">
            <w:pPr>
              <w:pStyle w:val="2"/>
              <w:keepNext w:val="0"/>
              <w:keepLines w:val="0"/>
              <w:pageBreakBefore w:val="0"/>
              <w:widowControl/>
              <w:kinsoku/>
              <w:wordWrap/>
              <w:overflowPunct/>
              <w:topLinePunct w:val="0"/>
              <w:autoSpaceDE/>
              <w:autoSpaceDN/>
              <w:bidi w:val="0"/>
              <w:adjustRightInd/>
              <w:snapToGrid w:val="0"/>
              <w:spacing w:after="0" w:line="204" w:lineRule="auto"/>
              <w:jc w:val="center"/>
              <w:textAlignment w:val="auto"/>
              <w:rPr>
                <w:rFonts w:hint="eastAsia" w:ascii="黑体" w:hAnsi="黑体" w:eastAsia="黑体"/>
                <w:lang w:eastAsia="zh-CN"/>
              </w:rPr>
            </w:pPr>
            <w:r>
              <w:rPr>
                <w:rFonts w:hint="eastAsia" w:ascii="黑体" w:hAnsi="黑体" w:eastAsia="黑体"/>
                <w:lang w:eastAsia="zh-CN"/>
              </w:rPr>
              <w:t>对象</w:t>
            </w:r>
          </w:p>
        </w:tc>
        <w:tc>
          <w:tcPr>
            <w:tcW w:w="5130" w:type="dxa"/>
            <w:noWrap w:val="0"/>
            <w:vAlign w:val="center"/>
          </w:tcPr>
          <w:p w14:paraId="4951E21B">
            <w:pPr>
              <w:pStyle w:val="2"/>
              <w:keepNext w:val="0"/>
              <w:keepLines w:val="0"/>
              <w:pageBreakBefore w:val="0"/>
              <w:widowControl/>
              <w:kinsoku/>
              <w:wordWrap/>
              <w:overflowPunct/>
              <w:topLinePunct w:val="0"/>
              <w:autoSpaceDE/>
              <w:autoSpaceDN/>
              <w:bidi w:val="0"/>
              <w:adjustRightInd/>
              <w:snapToGrid w:val="0"/>
              <w:spacing w:after="0" w:line="204" w:lineRule="auto"/>
              <w:jc w:val="center"/>
              <w:textAlignment w:val="auto"/>
              <w:rPr>
                <w:rFonts w:hint="eastAsia" w:ascii="黑体" w:hAnsi="黑体" w:eastAsia="黑体"/>
                <w:lang w:eastAsia="zh-CN"/>
              </w:rPr>
            </w:pPr>
            <w:r>
              <w:rPr>
                <w:rFonts w:hint="eastAsia" w:ascii="黑体" w:hAnsi="黑体" w:eastAsia="黑体"/>
                <w:lang w:eastAsia="zh-CN"/>
              </w:rPr>
              <w:t>检查任务</w:t>
            </w:r>
          </w:p>
        </w:tc>
        <w:tc>
          <w:tcPr>
            <w:tcW w:w="4071" w:type="dxa"/>
            <w:noWrap w:val="0"/>
            <w:vAlign w:val="center"/>
          </w:tcPr>
          <w:p w14:paraId="7BC01A4D">
            <w:pPr>
              <w:pStyle w:val="2"/>
              <w:keepNext w:val="0"/>
              <w:keepLines w:val="0"/>
              <w:pageBreakBefore w:val="0"/>
              <w:widowControl/>
              <w:kinsoku/>
              <w:wordWrap/>
              <w:overflowPunct/>
              <w:topLinePunct w:val="0"/>
              <w:autoSpaceDE/>
              <w:autoSpaceDN/>
              <w:bidi w:val="0"/>
              <w:adjustRightInd/>
              <w:snapToGrid w:val="0"/>
              <w:spacing w:after="0" w:line="204" w:lineRule="auto"/>
              <w:jc w:val="center"/>
              <w:textAlignment w:val="auto"/>
              <w:rPr>
                <w:rFonts w:hint="eastAsia" w:ascii="黑体" w:hAnsi="黑体" w:eastAsia="黑体"/>
                <w:lang w:eastAsia="zh-CN"/>
              </w:rPr>
            </w:pPr>
            <w:r>
              <w:rPr>
                <w:rFonts w:hint="eastAsia" w:ascii="黑体" w:hAnsi="黑体" w:eastAsia="黑体"/>
                <w:lang w:eastAsia="zh-CN"/>
              </w:rPr>
              <w:t>检查依据</w:t>
            </w:r>
          </w:p>
        </w:tc>
        <w:tc>
          <w:tcPr>
            <w:tcW w:w="1250" w:type="dxa"/>
            <w:noWrap w:val="0"/>
            <w:vAlign w:val="center"/>
          </w:tcPr>
          <w:p w14:paraId="0DC8292D">
            <w:pPr>
              <w:pStyle w:val="2"/>
              <w:keepNext w:val="0"/>
              <w:keepLines w:val="0"/>
              <w:pageBreakBefore w:val="0"/>
              <w:widowControl/>
              <w:kinsoku/>
              <w:wordWrap/>
              <w:overflowPunct/>
              <w:topLinePunct w:val="0"/>
              <w:autoSpaceDE/>
              <w:autoSpaceDN/>
              <w:bidi w:val="0"/>
              <w:adjustRightInd/>
              <w:snapToGrid w:val="0"/>
              <w:spacing w:after="0" w:line="204" w:lineRule="auto"/>
              <w:jc w:val="center"/>
              <w:textAlignment w:val="auto"/>
              <w:rPr>
                <w:rFonts w:hint="eastAsia" w:ascii="黑体" w:hAnsi="黑体" w:eastAsia="黑体"/>
                <w:lang w:eastAsia="zh-CN"/>
              </w:rPr>
            </w:pPr>
            <w:r>
              <w:rPr>
                <w:rFonts w:hint="eastAsia" w:ascii="黑体" w:hAnsi="黑体" w:eastAsia="黑体"/>
                <w:lang w:eastAsia="zh-CN"/>
              </w:rPr>
              <w:t>负责单位</w:t>
            </w:r>
          </w:p>
          <w:p w14:paraId="1657B398">
            <w:pPr>
              <w:pStyle w:val="2"/>
              <w:keepNext w:val="0"/>
              <w:keepLines w:val="0"/>
              <w:pageBreakBefore w:val="0"/>
              <w:widowControl/>
              <w:kinsoku/>
              <w:wordWrap/>
              <w:overflowPunct/>
              <w:topLinePunct w:val="0"/>
              <w:autoSpaceDE/>
              <w:autoSpaceDN/>
              <w:bidi w:val="0"/>
              <w:adjustRightInd/>
              <w:snapToGrid w:val="0"/>
              <w:spacing w:after="0" w:line="204" w:lineRule="auto"/>
              <w:jc w:val="center"/>
              <w:textAlignment w:val="auto"/>
              <w:rPr>
                <w:rFonts w:hint="eastAsia" w:ascii="黑体" w:hAnsi="黑体" w:eastAsia="黑体"/>
                <w:lang w:eastAsia="zh-CN"/>
              </w:rPr>
            </w:pPr>
            <w:r>
              <w:rPr>
                <w:rFonts w:hint="eastAsia" w:ascii="黑体" w:hAnsi="黑体" w:eastAsia="黑体"/>
                <w:lang w:eastAsia="zh-CN"/>
              </w:rPr>
              <w:t>（部门）</w:t>
            </w:r>
          </w:p>
        </w:tc>
        <w:tc>
          <w:tcPr>
            <w:tcW w:w="2568" w:type="dxa"/>
            <w:noWrap w:val="0"/>
            <w:vAlign w:val="center"/>
          </w:tcPr>
          <w:p w14:paraId="759C2865">
            <w:pPr>
              <w:pStyle w:val="2"/>
              <w:keepNext w:val="0"/>
              <w:keepLines w:val="0"/>
              <w:pageBreakBefore w:val="0"/>
              <w:widowControl/>
              <w:kinsoku/>
              <w:wordWrap/>
              <w:overflowPunct/>
              <w:topLinePunct w:val="0"/>
              <w:autoSpaceDE/>
              <w:autoSpaceDN/>
              <w:bidi w:val="0"/>
              <w:adjustRightInd/>
              <w:snapToGrid w:val="0"/>
              <w:spacing w:after="0" w:line="204" w:lineRule="auto"/>
              <w:jc w:val="center"/>
              <w:textAlignment w:val="auto"/>
              <w:rPr>
                <w:rFonts w:hint="eastAsia" w:ascii="黑体" w:hAnsi="黑体" w:eastAsia="黑体"/>
                <w:lang w:eastAsia="zh-CN"/>
              </w:rPr>
            </w:pPr>
            <w:r>
              <w:rPr>
                <w:rFonts w:hint="eastAsia" w:ascii="黑体" w:hAnsi="黑体" w:eastAsia="黑体"/>
                <w:lang w:eastAsia="zh-CN"/>
              </w:rPr>
              <w:t>工作要求</w:t>
            </w:r>
          </w:p>
        </w:tc>
      </w:tr>
      <w:tr w14:paraId="3D7C3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74" w:type="dxa"/>
            <w:noWrap w:val="0"/>
            <w:vAlign w:val="center"/>
          </w:tcPr>
          <w:p w14:paraId="4F0F9784">
            <w:pPr>
              <w:keepNext w:val="0"/>
              <w:keepLines w:val="0"/>
              <w:pageBreakBefore w:val="0"/>
              <w:widowControl/>
              <w:kinsoku/>
              <w:wordWrap/>
              <w:overflowPunct/>
              <w:topLinePunct w:val="0"/>
              <w:autoSpaceDE/>
              <w:autoSpaceDN/>
              <w:bidi w:val="0"/>
              <w:adjustRightInd/>
              <w:snapToGrid w:val="0"/>
              <w:spacing w:line="204" w:lineRule="auto"/>
              <w:jc w:val="center"/>
              <w:textAlignment w:val="auto"/>
              <w:rPr>
                <w:rFonts w:hint="eastAsia" w:ascii="仿宋_GB2312" w:hAnsi="黑体" w:eastAsia="仿宋_GB2312"/>
                <w:kern w:val="0"/>
                <w:sz w:val="22"/>
                <w:lang w:val="en-US" w:eastAsia="zh-CN"/>
              </w:rPr>
            </w:pPr>
            <w:r>
              <w:rPr>
                <w:rFonts w:hint="eastAsia" w:ascii="仿宋_GB2312" w:hAnsi="黑体" w:eastAsia="仿宋_GB2312"/>
                <w:kern w:val="0"/>
                <w:sz w:val="22"/>
                <w:lang w:val="en-US" w:eastAsia="zh-CN"/>
              </w:rPr>
              <w:t>1</w:t>
            </w:r>
          </w:p>
        </w:tc>
        <w:tc>
          <w:tcPr>
            <w:tcW w:w="964" w:type="dxa"/>
            <w:noWrap w:val="0"/>
            <w:vAlign w:val="center"/>
          </w:tcPr>
          <w:p w14:paraId="78D398D4">
            <w:pPr>
              <w:pStyle w:val="2"/>
              <w:keepNext w:val="0"/>
              <w:keepLines w:val="0"/>
              <w:pageBreakBefore w:val="0"/>
              <w:widowControl/>
              <w:kinsoku/>
              <w:wordWrap/>
              <w:overflowPunct/>
              <w:topLinePunct w:val="0"/>
              <w:autoSpaceDE/>
              <w:autoSpaceDN/>
              <w:bidi w:val="0"/>
              <w:adjustRightInd/>
              <w:snapToGrid w:val="0"/>
              <w:spacing w:after="0" w:line="204" w:lineRule="auto"/>
              <w:jc w:val="center"/>
              <w:textAlignment w:val="auto"/>
              <w:rPr>
                <w:rFonts w:hint="eastAsia" w:ascii="仿宋_GB2312" w:hAnsi="黑体" w:eastAsia="仿宋_GB2312"/>
                <w:lang w:eastAsia="zh-CN"/>
              </w:rPr>
            </w:pPr>
            <w:r>
              <w:rPr>
                <w:rFonts w:hint="eastAsia" w:ascii="仿宋_GB2312" w:hAnsi="黑体" w:eastAsia="仿宋_GB2312"/>
                <w:lang w:eastAsia="zh-CN"/>
              </w:rPr>
              <w:t>药品网络销售企业</w:t>
            </w:r>
          </w:p>
        </w:tc>
        <w:tc>
          <w:tcPr>
            <w:tcW w:w="5130" w:type="dxa"/>
            <w:noWrap w:val="0"/>
            <w:vAlign w:val="center"/>
          </w:tcPr>
          <w:p w14:paraId="1D5CF398">
            <w:pPr>
              <w:pStyle w:val="2"/>
              <w:keepNext w:val="0"/>
              <w:keepLines w:val="0"/>
              <w:pageBreakBefore w:val="0"/>
              <w:widowControl/>
              <w:kinsoku/>
              <w:wordWrap/>
              <w:overflowPunct/>
              <w:topLinePunct w:val="0"/>
              <w:autoSpaceDE/>
              <w:autoSpaceDN/>
              <w:bidi w:val="0"/>
              <w:adjustRightInd/>
              <w:snapToGrid w:val="0"/>
              <w:spacing w:after="0" w:line="204" w:lineRule="auto"/>
              <w:jc w:val="both"/>
              <w:textAlignment w:val="auto"/>
              <w:rPr>
                <w:rFonts w:hint="eastAsia" w:ascii="仿宋_GB2312" w:hAnsi="宋体" w:eastAsia="仿宋_GB2312"/>
                <w:lang w:eastAsia="zh-CN"/>
              </w:rPr>
            </w:pPr>
            <w:r>
              <w:rPr>
                <w:rFonts w:hint="eastAsia" w:ascii="仿宋_GB2312" w:hAnsi="宋体" w:eastAsia="仿宋_GB2312"/>
                <w:lang w:eastAsia="zh-CN"/>
              </w:rPr>
              <w:t>对药品网络销售企业实施线上线下一体化的全覆盖监督检查。</w:t>
            </w:r>
          </w:p>
        </w:tc>
        <w:tc>
          <w:tcPr>
            <w:tcW w:w="4071" w:type="dxa"/>
            <w:noWrap w:val="0"/>
            <w:vAlign w:val="center"/>
          </w:tcPr>
          <w:p w14:paraId="7FFAACA2">
            <w:pPr>
              <w:pStyle w:val="2"/>
              <w:keepNext w:val="0"/>
              <w:keepLines w:val="0"/>
              <w:pageBreakBefore w:val="0"/>
              <w:widowControl/>
              <w:kinsoku/>
              <w:wordWrap/>
              <w:overflowPunct/>
              <w:topLinePunct w:val="0"/>
              <w:autoSpaceDE/>
              <w:autoSpaceDN/>
              <w:bidi w:val="0"/>
              <w:adjustRightInd/>
              <w:snapToGrid w:val="0"/>
              <w:spacing w:after="0" w:line="204" w:lineRule="auto"/>
              <w:jc w:val="both"/>
              <w:textAlignment w:val="auto"/>
              <w:rPr>
                <w:rFonts w:hint="eastAsia" w:ascii="仿宋_GB2312" w:hAnsi="黑体" w:eastAsia="仿宋_GB2312"/>
                <w:lang w:eastAsia="zh-CN"/>
              </w:rPr>
            </w:pPr>
            <w:r>
              <w:rPr>
                <w:rFonts w:hint="eastAsia" w:ascii="仿宋_GB2312" w:hAnsi="黑体" w:eastAsia="仿宋_GB2312"/>
                <w:lang w:eastAsia="zh-CN"/>
              </w:rPr>
              <w:t>《药品网络销售监督管理办法》《国家药监局关于规范药品网络销售备案和报告工作的公告》（2022年第112号）</w:t>
            </w:r>
          </w:p>
        </w:tc>
        <w:tc>
          <w:tcPr>
            <w:tcW w:w="1250" w:type="dxa"/>
            <w:noWrap w:val="0"/>
            <w:vAlign w:val="center"/>
          </w:tcPr>
          <w:p w14:paraId="2CDA3800">
            <w:pPr>
              <w:pStyle w:val="2"/>
              <w:keepNext w:val="0"/>
              <w:keepLines w:val="0"/>
              <w:pageBreakBefore w:val="0"/>
              <w:widowControl/>
              <w:kinsoku/>
              <w:wordWrap/>
              <w:overflowPunct/>
              <w:topLinePunct w:val="0"/>
              <w:autoSpaceDE/>
              <w:autoSpaceDN/>
              <w:bidi w:val="0"/>
              <w:adjustRightInd/>
              <w:snapToGrid w:val="0"/>
              <w:spacing w:after="0" w:line="204" w:lineRule="auto"/>
              <w:jc w:val="center"/>
              <w:textAlignment w:val="auto"/>
              <w:rPr>
                <w:rFonts w:hint="eastAsia" w:ascii="仿宋_GB2312" w:hAnsi="CESI仿宋-GB2312" w:eastAsia="仿宋_GB2312" w:cs="CESI仿宋-GB2312"/>
                <w:lang w:eastAsia="zh-CN"/>
              </w:rPr>
            </w:pPr>
            <w:r>
              <w:rPr>
                <w:rFonts w:hint="eastAsia" w:ascii="仿宋_GB2312" w:hAnsi="黑体" w:eastAsia="仿宋_GB2312" w:cs="Times New Roman"/>
                <w:lang w:val="en-US" w:eastAsia="zh-CN"/>
              </w:rPr>
              <w:t>药化股、药化稽查大队、各市场监管所</w:t>
            </w:r>
          </w:p>
        </w:tc>
        <w:tc>
          <w:tcPr>
            <w:tcW w:w="2568" w:type="dxa"/>
            <w:noWrap w:val="0"/>
            <w:vAlign w:val="center"/>
          </w:tcPr>
          <w:p w14:paraId="271C7E3D">
            <w:pPr>
              <w:pStyle w:val="2"/>
              <w:keepNext w:val="0"/>
              <w:keepLines w:val="0"/>
              <w:pageBreakBefore w:val="0"/>
              <w:widowControl/>
              <w:kinsoku/>
              <w:wordWrap/>
              <w:overflowPunct/>
              <w:topLinePunct w:val="0"/>
              <w:autoSpaceDE/>
              <w:autoSpaceDN/>
              <w:bidi w:val="0"/>
              <w:adjustRightInd/>
              <w:snapToGrid w:val="0"/>
              <w:spacing w:after="0" w:line="204" w:lineRule="auto"/>
              <w:jc w:val="both"/>
              <w:textAlignment w:val="auto"/>
              <w:rPr>
                <w:rFonts w:hint="eastAsia" w:ascii="仿宋_GB2312" w:hAnsi="黑体" w:eastAsia="仿宋_GB2312"/>
                <w:lang w:eastAsia="zh-CN"/>
              </w:rPr>
            </w:pPr>
            <w:r>
              <w:rPr>
                <w:rFonts w:hint="eastAsia" w:ascii="仿宋_GB2312" w:hAnsi="黑体" w:eastAsia="仿宋_GB2312"/>
                <w:lang w:eastAsia="zh-CN"/>
              </w:rPr>
              <w:t>1.对检查发现的问题依法依规查处；</w:t>
            </w:r>
          </w:p>
          <w:p w14:paraId="166783D4">
            <w:pPr>
              <w:pStyle w:val="2"/>
              <w:keepNext w:val="0"/>
              <w:keepLines w:val="0"/>
              <w:pageBreakBefore w:val="0"/>
              <w:widowControl/>
              <w:kinsoku/>
              <w:wordWrap/>
              <w:overflowPunct/>
              <w:topLinePunct w:val="0"/>
              <w:autoSpaceDE/>
              <w:autoSpaceDN/>
              <w:bidi w:val="0"/>
              <w:adjustRightInd/>
              <w:snapToGrid w:val="0"/>
              <w:spacing w:after="0" w:line="204" w:lineRule="auto"/>
              <w:jc w:val="both"/>
              <w:textAlignment w:val="auto"/>
              <w:rPr>
                <w:rFonts w:hint="eastAsia" w:ascii="仿宋_GB2312" w:hAnsi="黑体" w:eastAsia="仿宋_GB2312"/>
                <w:lang w:eastAsia="zh-CN"/>
              </w:rPr>
            </w:pPr>
            <w:r>
              <w:rPr>
                <w:rFonts w:hint="eastAsia" w:ascii="仿宋_GB2312" w:hAnsi="黑体" w:eastAsia="仿宋_GB2312"/>
                <w:lang w:eastAsia="zh-CN"/>
              </w:rPr>
              <w:t>2.建立完善检查档案</w:t>
            </w:r>
            <w:r>
              <w:rPr>
                <w:rFonts w:hint="eastAsia" w:ascii="仿宋_GB2312" w:hAnsi="黑体" w:eastAsia="仿宋_GB2312"/>
                <w:lang w:val="en-US" w:eastAsia="zh-CN"/>
              </w:rPr>
              <w:t>并复印汇总报药化股</w:t>
            </w:r>
            <w:r>
              <w:rPr>
                <w:rFonts w:hint="eastAsia" w:ascii="仿宋_GB2312" w:hAnsi="黑体" w:eastAsia="仿宋_GB2312"/>
                <w:lang w:eastAsia="zh-CN"/>
              </w:rPr>
              <w:t>。</w:t>
            </w:r>
          </w:p>
        </w:tc>
      </w:tr>
      <w:tr w14:paraId="49F9E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574" w:type="dxa"/>
            <w:noWrap w:val="0"/>
            <w:vAlign w:val="center"/>
          </w:tcPr>
          <w:p w14:paraId="1487643E">
            <w:pPr>
              <w:pStyle w:val="2"/>
              <w:keepNext w:val="0"/>
              <w:keepLines w:val="0"/>
              <w:pageBreakBefore w:val="0"/>
              <w:widowControl/>
              <w:kinsoku/>
              <w:wordWrap/>
              <w:overflowPunct/>
              <w:topLinePunct w:val="0"/>
              <w:autoSpaceDE/>
              <w:autoSpaceDN/>
              <w:bidi w:val="0"/>
              <w:adjustRightInd/>
              <w:snapToGrid w:val="0"/>
              <w:spacing w:after="0" w:line="204" w:lineRule="auto"/>
              <w:jc w:val="center"/>
              <w:textAlignment w:val="auto"/>
              <w:rPr>
                <w:rFonts w:hint="default" w:ascii="仿宋_GB2312" w:hAnsi="黑体" w:eastAsia="仿宋_GB2312"/>
                <w:lang w:val="en-US" w:eastAsia="zh-CN"/>
              </w:rPr>
            </w:pPr>
            <w:r>
              <w:rPr>
                <w:rFonts w:hint="eastAsia" w:ascii="仿宋_GB2312" w:hAnsi="黑体" w:eastAsia="仿宋_GB2312"/>
                <w:lang w:val="en-US" w:eastAsia="zh-CN"/>
              </w:rPr>
              <w:t>2</w:t>
            </w:r>
          </w:p>
        </w:tc>
        <w:tc>
          <w:tcPr>
            <w:tcW w:w="964" w:type="dxa"/>
            <w:noWrap w:val="0"/>
            <w:vAlign w:val="center"/>
          </w:tcPr>
          <w:p w14:paraId="422C575A">
            <w:pPr>
              <w:pStyle w:val="2"/>
              <w:keepNext w:val="0"/>
              <w:keepLines w:val="0"/>
              <w:pageBreakBefore w:val="0"/>
              <w:widowControl/>
              <w:kinsoku/>
              <w:wordWrap/>
              <w:overflowPunct/>
              <w:topLinePunct w:val="0"/>
              <w:autoSpaceDE/>
              <w:autoSpaceDN/>
              <w:bidi w:val="0"/>
              <w:adjustRightInd/>
              <w:snapToGrid w:val="0"/>
              <w:spacing w:after="0" w:line="204" w:lineRule="auto"/>
              <w:jc w:val="center"/>
              <w:textAlignment w:val="auto"/>
              <w:rPr>
                <w:rFonts w:hint="eastAsia" w:ascii="仿宋_GB2312" w:hAnsi="黑体" w:eastAsia="仿宋_GB2312"/>
                <w:lang w:eastAsia="zh-CN"/>
              </w:rPr>
            </w:pPr>
            <w:r>
              <w:rPr>
                <w:rFonts w:hint="eastAsia" w:ascii="仿宋_GB2312" w:hAnsi="黑体" w:eastAsia="仿宋_GB2312"/>
                <w:lang w:eastAsia="zh-CN"/>
              </w:rPr>
              <w:t>零售药店（含连锁门店）</w:t>
            </w:r>
          </w:p>
        </w:tc>
        <w:tc>
          <w:tcPr>
            <w:tcW w:w="5130" w:type="dxa"/>
            <w:noWrap w:val="0"/>
            <w:vAlign w:val="center"/>
          </w:tcPr>
          <w:p w14:paraId="388D87DD">
            <w:pPr>
              <w:pStyle w:val="2"/>
              <w:keepNext w:val="0"/>
              <w:keepLines w:val="0"/>
              <w:pageBreakBefore w:val="0"/>
              <w:widowControl/>
              <w:kinsoku/>
              <w:wordWrap/>
              <w:overflowPunct/>
              <w:topLinePunct w:val="0"/>
              <w:autoSpaceDE/>
              <w:autoSpaceDN/>
              <w:bidi w:val="0"/>
              <w:adjustRightInd/>
              <w:snapToGrid w:val="0"/>
              <w:spacing w:after="0" w:line="204" w:lineRule="auto"/>
              <w:jc w:val="both"/>
              <w:textAlignment w:val="auto"/>
              <w:rPr>
                <w:rFonts w:hint="eastAsia" w:ascii="仿宋_GB2312" w:hAnsi="CESI仿宋-GB2312" w:eastAsia="仿宋_GB2312" w:cs="CESI仿宋-GB2312"/>
                <w:lang w:eastAsia="zh-CN"/>
              </w:rPr>
            </w:pPr>
            <w:r>
              <w:rPr>
                <w:rFonts w:hint="eastAsia" w:ascii="仿宋_GB2312" w:hAnsi="宋体" w:eastAsia="仿宋_GB2312"/>
                <w:lang w:eastAsia="zh-CN"/>
              </w:rPr>
              <w:t>1.</w:t>
            </w:r>
            <w:r>
              <w:rPr>
                <w:rFonts w:hint="eastAsia" w:ascii="仿宋_GB2312" w:hAnsi="宋体" w:eastAsia="仿宋_GB2312"/>
                <w:lang w:val="en-US" w:eastAsia="zh-CN"/>
              </w:rPr>
              <w:t>各市场监管所</w:t>
            </w:r>
            <w:r>
              <w:rPr>
                <w:rFonts w:hint="eastAsia" w:ascii="仿宋_GB2312" w:hAnsi="CESI仿宋-GB2312" w:eastAsia="仿宋_GB2312" w:cs="CESI仿宋-GB2312"/>
                <w:lang w:eastAsia="zh-CN" w:bidi="ar"/>
              </w:rPr>
              <w:t>将上一年度新开办的药品经营企业纳入本年度的监督检查计划，对其实施药品经营质量管理规范符合性检查；</w:t>
            </w:r>
          </w:p>
          <w:p w14:paraId="4B0446CF">
            <w:pPr>
              <w:pStyle w:val="2"/>
              <w:keepNext w:val="0"/>
              <w:keepLines w:val="0"/>
              <w:pageBreakBefore w:val="0"/>
              <w:widowControl/>
              <w:kinsoku/>
              <w:wordWrap/>
              <w:overflowPunct/>
              <w:topLinePunct w:val="0"/>
              <w:autoSpaceDE/>
              <w:autoSpaceDN/>
              <w:bidi w:val="0"/>
              <w:adjustRightInd/>
              <w:snapToGrid w:val="0"/>
              <w:spacing w:after="0" w:line="204" w:lineRule="auto"/>
              <w:jc w:val="both"/>
              <w:textAlignment w:val="auto"/>
              <w:rPr>
                <w:rFonts w:hint="eastAsia" w:ascii="仿宋_GB2312" w:hAnsi="CESI仿宋-GB2312" w:eastAsia="仿宋_GB2312" w:cs="CESI仿宋-GB2312"/>
                <w:lang w:eastAsia="zh-CN"/>
              </w:rPr>
            </w:pPr>
            <w:r>
              <w:rPr>
                <w:rFonts w:hint="eastAsia" w:ascii="仿宋_GB2312" w:hAnsi="CESI仿宋-GB2312" w:eastAsia="仿宋_GB2312" w:cs="CESI仿宋-GB2312"/>
                <w:lang w:eastAsia="zh-CN"/>
              </w:rPr>
              <w:t>2.</w:t>
            </w:r>
            <w:r>
              <w:rPr>
                <w:rFonts w:hint="eastAsia" w:ascii="仿宋_GB2312" w:hAnsi="CESI仿宋-GB2312" w:eastAsia="仿宋_GB2312" w:cs="CESI仿宋-GB2312"/>
                <w:lang w:eastAsia="zh-CN" w:bidi="ar"/>
              </w:rPr>
              <w:t>对冷藏冷冻药品、血液制品</w:t>
            </w:r>
            <w:r>
              <w:rPr>
                <w:rFonts w:hint="eastAsia" w:ascii="仿宋_GB2312" w:hAnsi="CESI仿宋-GB2312" w:eastAsia="仿宋_GB2312" w:cs="CESI仿宋-GB2312"/>
                <w:lang w:val="en-US" w:eastAsia="zh-CN" w:bidi="ar"/>
              </w:rPr>
              <w:t>等重点品种</w:t>
            </w:r>
            <w:r>
              <w:rPr>
                <w:rFonts w:hint="eastAsia" w:ascii="仿宋_GB2312" w:hAnsi="CESI仿宋-GB2312" w:eastAsia="仿宋_GB2312" w:cs="CESI仿宋-GB2312"/>
                <w:lang w:eastAsia="zh-CN" w:bidi="ar"/>
              </w:rPr>
              <w:t>经营企业检查，</w:t>
            </w:r>
            <w:r>
              <w:rPr>
                <w:rFonts w:hint="eastAsia" w:ascii="仿宋_GB2312" w:hAnsi="CESI仿宋-GB2312" w:eastAsia="仿宋_GB2312" w:cs="CESI仿宋-GB2312"/>
                <w:lang w:val="en-US" w:eastAsia="zh-CN" w:bidi="ar"/>
              </w:rPr>
              <w:t>各市场监管所</w:t>
            </w:r>
            <w:r>
              <w:rPr>
                <w:rFonts w:hint="eastAsia" w:ascii="仿宋_GB2312" w:hAnsi="CESI仿宋-GB2312" w:eastAsia="仿宋_GB2312" w:cs="CESI仿宋-GB2312"/>
                <w:lang w:eastAsia="zh-CN" w:bidi="ar"/>
              </w:rPr>
              <w:t>每年</w:t>
            </w:r>
            <w:r>
              <w:rPr>
                <w:rFonts w:hint="eastAsia" w:ascii="仿宋_GB2312" w:hAnsi="CESI仿宋-GB2312" w:eastAsia="仿宋_GB2312" w:cs="CESI仿宋-GB2312"/>
                <w:lang w:val="en-US" w:eastAsia="zh-CN" w:bidi="ar"/>
              </w:rPr>
              <w:t>检查</w:t>
            </w:r>
            <w:r>
              <w:rPr>
                <w:rFonts w:hint="eastAsia" w:ascii="仿宋_GB2312" w:hAnsi="CESI仿宋-GB2312" w:eastAsia="仿宋_GB2312" w:cs="CESI仿宋-GB2312"/>
                <w:lang w:eastAsia="zh-CN" w:bidi="ar"/>
              </w:rPr>
              <w:t>不少于1次；</w:t>
            </w:r>
          </w:p>
          <w:p w14:paraId="00B262E7">
            <w:pPr>
              <w:pStyle w:val="2"/>
              <w:keepNext w:val="0"/>
              <w:keepLines w:val="0"/>
              <w:pageBreakBefore w:val="0"/>
              <w:widowControl/>
              <w:kinsoku/>
              <w:wordWrap/>
              <w:overflowPunct/>
              <w:topLinePunct w:val="0"/>
              <w:autoSpaceDE/>
              <w:autoSpaceDN/>
              <w:bidi w:val="0"/>
              <w:adjustRightInd/>
              <w:snapToGrid w:val="0"/>
              <w:spacing w:after="0" w:line="204" w:lineRule="auto"/>
              <w:jc w:val="both"/>
              <w:textAlignment w:val="auto"/>
              <w:rPr>
                <w:rFonts w:hint="eastAsia" w:ascii="仿宋_GB2312" w:hAnsi="CESI仿宋-GB2312" w:eastAsia="仿宋_GB2312" w:cs="CESI仿宋-GB2312"/>
                <w:lang w:eastAsia="zh-CN" w:bidi="ar"/>
              </w:rPr>
            </w:pPr>
            <w:r>
              <w:rPr>
                <w:rFonts w:hint="eastAsia" w:ascii="仿宋_GB2312" w:hAnsi="CESI仿宋-GB2312" w:eastAsia="仿宋_GB2312" w:cs="CESI仿宋-GB2312"/>
                <w:lang w:eastAsia="zh-CN" w:bidi="ar"/>
              </w:rPr>
              <w:t>3.对第2项以外的药品经营企业，</w:t>
            </w:r>
            <w:r>
              <w:rPr>
                <w:rFonts w:hint="eastAsia" w:ascii="仿宋_GB2312" w:hAnsi="CESI仿宋-GB2312" w:eastAsia="仿宋_GB2312" w:cs="CESI仿宋-GB2312"/>
                <w:lang w:val="en-US" w:eastAsia="zh-CN" w:bidi="ar"/>
              </w:rPr>
              <w:t>各市场监管所</w:t>
            </w:r>
            <w:r>
              <w:rPr>
                <w:rFonts w:hint="eastAsia" w:ascii="仿宋_GB2312" w:hAnsi="CESI仿宋-GB2312" w:eastAsia="仿宋_GB2312" w:cs="CESI仿宋-GB2312"/>
                <w:lang w:eastAsia="zh-CN" w:bidi="ar"/>
              </w:rPr>
              <w:t>每年确定</w:t>
            </w:r>
            <w:r>
              <w:rPr>
                <w:rFonts w:hint="eastAsia" w:ascii="仿宋_GB2312" w:hAnsi="CESI仿宋-GB2312" w:eastAsia="仿宋_GB2312" w:cs="CESI仿宋-GB2312"/>
                <w:lang w:val="en-US" w:eastAsia="zh-CN"/>
              </w:rPr>
              <w:t>不低于辖区总数30%</w:t>
            </w:r>
            <w:r>
              <w:rPr>
                <w:rFonts w:hint="eastAsia" w:ascii="仿宋_GB2312" w:hAnsi="CESI仿宋-GB2312" w:eastAsia="仿宋_GB2312" w:cs="CESI仿宋-GB2312"/>
                <w:lang w:eastAsia="zh-CN" w:bidi="ar"/>
              </w:rPr>
              <w:t>开展药品经营质量管理规范符合性检查，三年内对本</w:t>
            </w:r>
            <w:r>
              <w:rPr>
                <w:rFonts w:hint="eastAsia" w:ascii="仿宋_GB2312" w:hAnsi="CESI仿宋-GB2312" w:eastAsia="仿宋_GB2312" w:cs="CESI仿宋-GB2312"/>
                <w:lang w:val="en-US" w:eastAsia="zh-CN" w:bidi="ar"/>
              </w:rPr>
              <w:t>辖区</w:t>
            </w:r>
            <w:r>
              <w:rPr>
                <w:rFonts w:hint="eastAsia" w:ascii="仿宋_GB2312" w:hAnsi="CESI仿宋-GB2312" w:eastAsia="仿宋_GB2312" w:cs="CESI仿宋-GB2312"/>
                <w:lang w:eastAsia="zh-CN" w:bidi="ar"/>
              </w:rPr>
              <w:t>药品经营企业全部进行检查；</w:t>
            </w:r>
          </w:p>
          <w:p w14:paraId="20E4441F">
            <w:pPr>
              <w:pStyle w:val="2"/>
              <w:keepNext w:val="0"/>
              <w:keepLines w:val="0"/>
              <w:pageBreakBefore w:val="0"/>
              <w:widowControl/>
              <w:kinsoku/>
              <w:wordWrap/>
              <w:overflowPunct/>
              <w:topLinePunct w:val="0"/>
              <w:autoSpaceDE/>
              <w:autoSpaceDN/>
              <w:bidi w:val="0"/>
              <w:adjustRightInd/>
              <w:snapToGrid w:val="0"/>
              <w:spacing w:after="0" w:line="204" w:lineRule="auto"/>
              <w:jc w:val="both"/>
              <w:textAlignment w:val="auto"/>
              <w:rPr>
                <w:rFonts w:hint="eastAsia" w:ascii="仿宋_GB2312" w:hAnsi="CESI仿宋-GB2312" w:eastAsia="仿宋_GB2312" w:cs="CESI仿宋-GB2312"/>
                <w:lang w:eastAsia="zh-CN" w:bidi="ar"/>
              </w:rPr>
            </w:pPr>
            <w:r>
              <w:rPr>
                <w:rFonts w:hint="eastAsia" w:ascii="仿宋_GB2312" w:hAnsi="CESI仿宋-GB2312" w:eastAsia="仿宋_GB2312" w:cs="CESI仿宋-GB2312"/>
                <w:lang w:val="en-US" w:eastAsia="zh-CN" w:bidi="ar"/>
              </w:rPr>
              <w:t>4、药化股、药化稽查大队根据监管工作实际分别组织实施随机抽查，抽查比例不得低于总数5%；</w:t>
            </w:r>
          </w:p>
          <w:p w14:paraId="4D739B00">
            <w:pPr>
              <w:pStyle w:val="2"/>
              <w:keepNext w:val="0"/>
              <w:keepLines w:val="0"/>
              <w:pageBreakBefore w:val="0"/>
              <w:widowControl/>
              <w:kinsoku/>
              <w:wordWrap/>
              <w:overflowPunct/>
              <w:topLinePunct w:val="0"/>
              <w:autoSpaceDE/>
              <w:autoSpaceDN/>
              <w:bidi w:val="0"/>
              <w:adjustRightInd/>
              <w:snapToGrid w:val="0"/>
              <w:spacing w:after="0" w:line="204" w:lineRule="auto"/>
              <w:jc w:val="both"/>
              <w:textAlignment w:val="auto"/>
              <w:rPr>
                <w:rFonts w:hint="eastAsia" w:ascii="仿宋_GB2312" w:hAnsi="宋体" w:eastAsia="仿宋_GB2312"/>
                <w:lang w:eastAsia="zh-CN"/>
              </w:rPr>
            </w:pPr>
            <w:r>
              <w:rPr>
                <w:rFonts w:hint="eastAsia" w:ascii="仿宋_GB2312" w:hAnsi="宋体" w:eastAsia="仿宋_GB2312"/>
                <w:lang w:val="en-US" w:eastAsia="zh-CN"/>
              </w:rPr>
              <w:t>5、</w:t>
            </w:r>
            <w:r>
              <w:rPr>
                <w:rFonts w:hint="eastAsia" w:ascii="仿宋_GB2312" w:hAnsi="宋体" w:eastAsia="仿宋_GB2312"/>
                <w:lang w:eastAsia="zh-CN"/>
              </w:rPr>
              <w:t>市、</w:t>
            </w:r>
            <w:r>
              <w:rPr>
                <w:rFonts w:hint="eastAsia" w:ascii="仿宋_GB2312" w:hAnsi="宋体" w:eastAsia="仿宋_GB2312"/>
                <w:lang w:val="en-US" w:eastAsia="zh-CN"/>
              </w:rPr>
              <w:t>县</w:t>
            </w:r>
            <w:r>
              <w:rPr>
                <w:rFonts w:hint="eastAsia" w:ascii="仿宋_GB2312" w:hAnsi="宋体" w:eastAsia="仿宋_GB2312"/>
                <w:lang w:eastAsia="zh-CN"/>
              </w:rPr>
              <w:t>下达的其他检查任务。</w:t>
            </w:r>
          </w:p>
        </w:tc>
        <w:tc>
          <w:tcPr>
            <w:tcW w:w="4071" w:type="dxa"/>
            <w:noWrap w:val="0"/>
            <w:vAlign w:val="center"/>
          </w:tcPr>
          <w:p w14:paraId="7E5CD792">
            <w:pPr>
              <w:pStyle w:val="2"/>
              <w:keepNext w:val="0"/>
              <w:keepLines w:val="0"/>
              <w:pageBreakBefore w:val="0"/>
              <w:widowControl/>
              <w:kinsoku/>
              <w:wordWrap/>
              <w:overflowPunct/>
              <w:topLinePunct w:val="0"/>
              <w:autoSpaceDE/>
              <w:autoSpaceDN/>
              <w:bidi w:val="0"/>
              <w:adjustRightInd/>
              <w:snapToGrid w:val="0"/>
              <w:spacing w:after="0" w:line="204" w:lineRule="auto"/>
              <w:jc w:val="both"/>
              <w:textAlignment w:val="auto"/>
              <w:rPr>
                <w:rFonts w:hint="eastAsia" w:ascii="仿宋_GB2312" w:hAnsi="黑体" w:eastAsia="仿宋_GB2312"/>
                <w:lang w:eastAsia="zh-CN"/>
              </w:rPr>
            </w:pPr>
            <w:r>
              <w:rPr>
                <w:rFonts w:hint="eastAsia" w:ascii="仿宋_GB2312" w:hAnsi="黑体" w:eastAsia="仿宋_GB2312"/>
                <w:lang w:eastAsia="zh-CN"/>
              </w:rPr>
              <w:t>1.《药品管理法》《麻醉药品和精神药品管理条例》《药品经营质量管理规范》《药品经营和使用质量监督管理办法》《药品检查管理办法（试行）》等法律法规；</w:t>
            </w:r>
          </w:p>
          <w:p w14:paraId="4F4491B5">
            <w:pPr>
              <w:pStyle w:val="2"/>
              <w:keepNext w:val="0"/>
              <w:keepLines w:val="0"/>
              <w:pageBreakBefore w:val="0"/>
              <w:widowControl/>
              <w:kinsoku/>
              <w:wordWrap/>
              <w:overflowPunct/>
              <w:topLinePunct w:val="0"/>
              <w:autoSpaceDE/>
              <w:autoSpaceDN/>
              <w:bidi w:val="0"/>
              <w:adjustRightInd/>
              <w:snapToGrid w:val="0"/>
              <w:spacing w:after="0" w:line="204" w:lineRule="auto"/>
              <w:jc w:val="both"/>
              <w:textAlignment w:val="auto"/>
              <w:rPr>
                <w:rFonts w:hint="eastAsia" w:ascii="仿宋_GB2312" w:hAnsi="黑体" w:eastAsia="仿宋_GB2312"/>
                <w:lang w:eastAsia="zh-CN"/>
              </w:rPr>
            </w:pPr>
            <w:r>
              <w:rPr>
                <w:rFonts w:hint="eastAsia" w:ascii="仿宋_GB2312" w:hAnsi="CESI仿宋-GB2312" w:eastAsia="仿宋_GB2312" w:cs="CESI仿宋-GB2312"/>
                <w:lang w:eastAsia="zh-CN"/>
              </w:rPr>
              <w:t>2</w:t>
            </w:r>
            <w:r>
              <w:rPr>
                <w:rFonts w:hint="eastAsia" w:ascii="仿宋_GB2312" w:hAnsi="黑体" w:eastAsia="仿宋_GB2312"/>
                <w:lang w:eastAsia="zh-CN"/>
              </w:rPr>
              <w:t>其他省、市局要求的监督检查要点。</w:t>
            </w:r>
          </w:p>
        </w:tc>
        <w:tc>
          <w:tcPr>
            <w:tcW w:w="1250" w:type="dxa"/>
            <w:noWrap w:val="0"/>
            <w:vAlign w:val="center"/>
          </w:tcPr>
          <w:p w14:paraId="140A0A00">
            <w:pPr>
              <w:pStyle w:val="2"/>
              <w:keepNext w:val="0"/>
              <w:keepLines w:val="0"/>
              <w:pageBreakBefore w:val="0"/>
              <w:widowControl/>
              <w:kinsoku/>
              <w:wordWrap/>
              <w:overflowPunct/>
              <w:topLinePunct w:val="0"/>
              <w:autoSpaceDE/>
              <w:autoSpaceDN/>
              <w:bidi w:val="0"/>
              <w:adjustRightInd/>
              <w:snapToGrid w:val="0"/>
              <w:spacing w:after="0" w:line="204" w:lineRule="auto"/>
              <w:jc w:val="both"/>
              <w:textAlignment w:val="auto"/>
              <w:rPr>
                <w:rFonts w:hint="eastAsia" w:ascii="仿宋_GB2312" w:hAnsi="黑体" w:eastAsia="仿宋_GB2312"/>
                <w:lang w:eastAsia="zh-CN"/>
              </w:rPr>
            </w:pPr>
            <w:r>
              <w:rPr>
                <w:rFonts w:hint="eastAsia" w:ascii="仿宋_GB2312" w:hAnsi="黑体" w:eastAsia="仿宋_GB2312" w:cs="Times New Roman"/>
                <w:lang w:val="en-US" w:eastAsia="zh-CN"/>
              </w:rPr>
              <w:t>药化股、药化稽查大队、各市场监管所</w:t>
            </w:r>
          </w:p>
        </w:tc>
        <w:tc>
          <w:tcPr>
            <w:tcW w:w="2568" w:type="dxa"/>
            <w:noWrap w:val="0"/>
            <w:vAlign w:val="center"/>
          </w:tcPr>
          <w:p w14:paraId="5623287D">
            <w:pPr>
              <w:pStyle w:val="2"/>
              <w:keepNext w:val="0"/>
              <w:keepLines w:val="0"/>
              <w:pageBreakBefore w:val="0"/>
              <w:widowControl/>
              <w:numPr>
                <w:ilvl w:val="0"/>
                <w:numId w:val="2"/>
              </w:numPr>
              <w:kinsoku/>
              <w:wordWrap/>
              <w:overflowPunct/>
              <w:topLinePunct w:val="0"/>
              <w:autoSpaceDE/>
              <w:autoSpaceDN/>
              <w:bidi w:val="0"/>
              <w:adjustRightInd/>
              <w:snapToGrid w:val="0"/>
              <w:spacing w:after="0" w:line="204" w:lineRule="auto"/>
              <w:jc w:val="both"/>
              <w:textAlignment w:val="auto"/>
              <w:rPr>
                <w:rFonts w:hint="eastAsia" w:ascii="仿宋_GB2312" w:hAnsi="黑体" w:eastAsia="仿宋_GB2312"/>
                <w:lang w:eastAsia="zh-CN"/>
              </w:rPr>
            </w:pPr>
            <w:r>
              <w:rPr>
                <w:rFonts w:hint="eastAsia" w:ascii="仿宋_GB2312" w:hAnsi="黑体" w:eastAsia="仿宋_GB2312"/>
                <w:lang w:val="en-US" w:eastAsia="zh-CN"/>
              </w:rPr>
              <w:t>药化股</w:t>
            </w:r>
            <w:r>
              <w:rPr>
                <w:rFonts w:hint="eastAsia" w:ascii="仿宋_GB2312" w:hAnsi="黑体" w:eastAsia="仿宋_GB2312"/>
                <w:lang w:eastAsia="zh-CN"/>
              </w:rPr>
              <w:t>制定监督检查计划，分解任务；</w:t>
            </w:r>
          </w:p>
          <w:p w14:paraId="78AAD709">
            <w:pPr>
              <w:pStyle w:val="2"/>
              <w:keepNext w:val="0"/>
              <w:keepLines w:val="0"/>
              <w:pageBreakBefore w:val="0"/>
              <w:widowControl/>
              <w:numPr>
                <w:ilvl w:val="0"/>
                <w:numId w:val="2"/>
              </w:numPr>
              <w:kinsoku/>
              <w:wordWrap/>
              <w:overflowPunct/>
              <w:topLinePunct w:val="0"/>
              <w:autoSpaceDE/>
              <w:autoSpaceDN/>
              <w:bidi w:val="0"/>
              <w:adjustRightInd/>
              <w:snapToGrid w:val="0"/>
              <w:spacing w:after="0" w:line="204" w:lineRule="auto"/>
              <w:jc w:val="both"/>
              <w:textAlignment w:val="auto"/>
              <w:rPr>
                <w:rFonts w:hint="eastAsia" w:ascii="仿宋_GB2312" w:hAnsi="黑体" w:eastAsia="仿宋_GB2312"/>
                <w:lang w:eastAsia="zh-CN"/>
              </w:rPr>
            </w:pPr>
            <w:r>
              <w:rPr>
                <w:rFonts w:hint="eastAsia" w:ascii="仿宋_GB2312" w:hAnsi="黑体" w:eastAsia="仿宋_GB2312"/>
                <w:lang w:eastAsia="zh-CN"/>
              </w:rPr>
              <w:t>所、队、股室抽查信息共享，</w:t>
            </w:r>
            <w:r>
              <w:rPr>
                <w:rFonts w:hint="eastAsia" w:ascii="仿宋_GB2312" w:hAnsi="黑体" w:eastAsia="仿宋_GB2312"/>
                <w:lang w:val="en-US" w:eastAsia="zh-CN"/>
              </w:rPr>
              <w:t>尽量</w:t>
            </w:r>
            <w:r>
              <w:rPr>
                <w:rFonts w:hint="eastAsia" w:ascii="仿宋_GB2312" w:hAnsi="黑体" w:eastAsia="仿宋_GB2312"/>
                <w:lang w:eastAsia="zh-CN"/>
              </w:rPr>
              <w:t>避免重复</w:t>
            </w:r>
            <w:r>
              <w:rPr>
                <w:rFonts w:hint="eastAsia" w:ascii="仿宋_GB2312" w:hAnsi="黑体" w:eastAsia="仿宋_GB2312"/>
                <w:lang w:val="en-US" w:eastAsia="zh-CN"/>
              </w:rPr>
              <w:t>检查，以扩大覆盖面。</w:t>
            </w:r>
          </w:p>
          <w:p w14:paraId="51B7FBD1">
            <w:pPr>
              <w:pStyle w:val="2"/>
              <w:keepNext w:val="0"/>
              <w:keepLines w:val="0"/>
              <w:pageBreakBefore w:val="0"/>
              <w:widowControl/>
              <w:kinsoku/>
              <w:wordWrap/>
              <w:overflowPunct/>
              <w:topLinePunct w:val="0"/>
              <w:autoSpaceDE/>
              <w:autoSpaceDN/>
              <w:bidi w:val="0"/>
              <w:adjustRightInd/>
              <w:snapToGrid w:val="0"/>
              <w:spacing w:after="0" w:line="204" w:lineRule="auto"/>
              <w:jc w:val="both"/>
              <w:textAlignment w:val="auto"/>
              <w:rPr>
                <w:rFonts w:hint="eastAsia" w:ascii="仿宋_GB2312" w:hAnsi="黑体" w:eastAsia="仿宋_GB2312"/>
                <w:lang w:eastAsia="zh-CN"/>
              </w:rPr>
            </w:pPr>
            <w:r>
              <w:rPr>
                <w:rFonts w:hint="eastAsia" w:ascii="仿宋_GB2312" w:hAnsi="黑体" w:eastAsia="仿宋_GB2312"/>
                <w:lang w:val="en-US" w:eastAsia="zh-CN"/>
              </w:rPr>
              <w:t>3</w:t>
            </w:r>
            <w:r>
              <w:rPr>
                <w:rFonts w:hint="eastAsia" w:ascii="仿宋_GB2312" w:hAnsi="黑体" w:eastAsia="仿宋_GB2312"/>
                <w:lang w:eastAsia="zh-CN"/>
              </w:rPr>
              <w:t>.对检查发现的问题依法依规查处；</w:t>
            </w:r>
          </w:p>
          <w:p w14:paraId="6842295A">
            <w:pPr>
              <w:pStyle w:val="2"/>
              <w:keepNext w:val="0"/>
              <w:keepLines w:val="0"/>
              <w:pageBreakBefore w:val="0"/>
              <w:widowControl/>
              <w:kinsoku/>
              <w:wordWrap/>
              <w:overflowPunct/>
              <w:topLinePunct w:val="0"/>
              <w:autoSpaceDE/>
              <w:autoSpaceDN/>
              <w:bidi w:val="0"/>
              <w:adjustRightInd/>
              <w:snapToGrid w:val="0"/>
              <w:spacing w:after="0" w:line="204" w:lineRule="auto"/>
              <w:jc w:val="both"/>
              <w:textAlignment w:val="auto"/>
              <w:rPr>
                <w:rFonts w:hint="eastAsia" w:ascii="仿宋_GB2312" w:hAnsi="黑体" w:eastAsia="仿宋_GB2312"/>
                <w:lang w:eastAsia="zh-CN"/>
              </w:rPr>
            </w:pPr>
            <w:r>
              <w:rPr>
                <w:rFonts w:hint="eastAsia" w:ascii="仿宋_GB2312" w:hAnsi="黑体" w:eastAsia="仿宋_GB2312"/>
                <w:lang w:val="en-US" w:eastAsia="zh-CN"/>
              </w:rPr>
              <w:t>4</w:t>
            </w:r>
            <w:r>
              <w:rPr>
                <w:rFonts w:hint="eastAsia" w:ascii="仿宋_GB2312" w:hAnsi="黑体" w:eastAsia="仿宋_GB2312"/>
                <w:lang w:eastAsia="zh-CN"/>
              </w:rPr>
              <w:t>.建立完善检查档案</w:t>
            </w:r>
            <w:r>
              <w:rPr>
                <w:rFonts w:hint="eastAsia" w:ascii="仿宋_GB2312" w:hAnsi="黑体" w:eastAsia="仿宋_GB2312"/>
                <w:lang w:val="en-US" w:eastAsia="zh-CN"/>
              </w:rPr>
              <w:t>并复印汇总报药化股</w:t>
            </w:r>
            <w:r>
              <w:rPr>
                <w:rFonts w:hint="eastAsia" w:ascii="仿宋_GB2312" w:hAnsi="黑体" w:eastAsia="仿宋_GB2312"/>
                <w:lang w:eastAsia="zh-CN"/>
              </w:rPr>
              <w:t>。</w:t>
            </w:r>
          </w:p>
        </w:tc>
      </w:tr>
      <w:tr w14:paraId="6D270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574" w:type="dxa"/>
            <w:noWrap w:val="0"/>
            <w:vAlign w:val="center"/>
          </w:tcPr>
          <w:p w14:paraId="796B2CC1">
            <w:pPr>
              <w:pStyle w:val="2"/>
              <w:keepNext w:val="0"/>
              <w:keepLines w:val="0"/>
              <w:pageBreakBefore w:val="0"/>
              <w:widowControl/>
              <w:kinsoku/>
              <w:wordWrap/>
              <w:overflowPunct/>
              <w:topLinePunct w:val="0"/>
              <w:autoSpaceDE/>
              <w:autoSpaceDN/>
              <w:bidi w:val="0"/>
              <w:adjustRightInd/>
              <w:snapToGrid w:val="0"/>
              <w:spacing w:after="0" w:line="204" w:lineRule="auto"/>
              <w:jc w:val="center"/>
              <w:textAlignment w:val="auto"/>
              <w:rPr>
                <w:rFonts w:hint="default" w:ascii="仿宋_GB2312" w:hAnsi="黑体" w:eastAsia="仿宋_GB2312"/>
                <w:lang w:val="en-US" w:eastAsia="zh-CN"/>
              </w:rPr>
            </w:pPr>
            <w:r>
              <w:rPr>
                <w:rFonts w:hint="eastAsia" w:ascii="仿宋_GB2312" w:hAnsi="黑体" w:eastAsia="仿宋_GB2312"/>
                <w:lang w:val="en-US" w:eastAsia="zh-CN"/>
              </w:rPr>
              <w:t>3</w:t>
            </w:r>
          </w:p>
        </w:tc>
        <w:tc>
          <w:tcPr>
            <w:tcW w:w="964" w:type="dxa"/>
            <w:noWrap w:val="0"/>
            <w:vAlign w:val="center"/>
          </w:tcPr>
          <w:p w14:paraId="72CFE7DD">
            <w:pPr>
              <w:pStyle w:val="2"/>
              <w:keepNext w:val="0"/>
              <w:keepLines w:val="0"/>
              <w:pageBreakBefore w:val="0"/>
              <w:widowControl/>
              <w:kinsoku/>
              <w:wordWrap/>
              <w:overflowPunct/>
              <w:topLinePunct w:val="0"/>
              <w:autoSpaceDE/>
              <w:autoSpaceDN/>
              <w:bidi w:val="0"/>
              <w:adjustRightInd/>
              <w:snapToGrid w:val="0"/>
              <w:spacing w:after="0" w:line="204" w:lineRule="auto"/>
              <w:jc w:val="center"/>
              <w:textAlignment w:val="auto"/>
              <w:rPr>
                <w:rFonts w:hint="eastAsia" w:ascii="仿宋_GB2312" w:hAnsi="黑体" w:eastAsia="仿宋_GB2312"/>
                <w:lang w:eastAsia="zh-CN"/>
              </w:rPr>
            </w:pPr>
            <w:r>
              <w:rPr>
                <w:rFonts w:hint="eastAsia" w:ascii="仿宋_GB2312" w:hAnsi="黑体" w:eastAsia="仿宋_GB2312"/>
                <w:lang w:eastAsia="zh-CN"/>
              </w:rPr>
              <w:t>医疗</w:t>
            </w:r>
          </w:p>
          <w:p w14:paraId="18ED0D44">
            <w:pPr>
              <w:pStyle w:val="2"/>
              <w:keepNext w:val="0"/>
              <w:keepLines w:val="0"/>
              <w:pageBreakBefore w:val="0"/>
              <w:widowControl/>
              <w:kinsoku/>
              <w:wordWrap/>
              <w:overflowPunct/>
              <w:topLinePunct w:val="0"/>
              <w:autoSpaceDE/>
              <w:autoSpaceDN/>
              <w:bidi w:val="0"/>
              <w:adjustRightInd/>
              <w:snapToGrid w:val="0"/>
              <w:spacing w:after="0" w:line="204" w:lineRule="auto"/>
              <w:jc w:val="center"/>
              <w:textAlignment w:val="auto"/>
              <w:rPr>
                <w:rFonts w:hint="eastAsia" w:ascii="仿宋_GB2312" w:hAnsi="黑体" w:eastAsia="仿宋_GB2312"/>
                <w:lang w:eastAsia="zh-CN"/>
              </w:rPr>
            </w:pPr>
            <w:r>
              <w:rPr>
                <w:rFonts w:hint="eastAsia" w:ascii="仿宋_GB2312" w:hAnsi="黑体" w:eastAsia="仿宋_GB2312"/>
                <w:lang w:eastAsia="zh-CN"/>
              </w:rPr>
              <w:t>机构</w:t>
            </w:r>
          </w:p>
        </w:tc>
        <w:tc>
          <w:tcPr>
            <w:tcW w:w="5130" w:type="dxa"/>
            <w:noWrap w:val="0"/>
            <w:vAlign w:val="center"/>
          </w:tcPr>
          <w:p w14:paraId="53957035">
            <w:pPr>
              <w:pStyle w:val="2"/>
              <w:keepNext w:val="0"/>
              <w:keepLines w:val="0"/>
              <w:pageBreakBefore w:val="0"/>
              <w:widowControl/>
              <w:numPr>
                <w:ilvl w:val="0"/>
                <w:numId w:val="3"/>
              </w:numPr>
              <w:kinsoku/>
              <w:wordWrap/>
              <w:overflowPunct/>
              <w:topLinePunct w:val="0"/>
              <w:autoSpaceDE/>
              <w:autoSpaceDN/>
              <w:bidi w:val="0"/>
              <w:adjustRightInd/>
              <w:snapToGrid w:val="0"/>
              <w:spacing w:after="0" w:line="204" w:lineRule="auto"/>
              <w:jc w:val="both"/>
              <w:textAlignment w:val="auto"/>
              <w:rPr>
                <w:rFonts w:hint="eastAsia" w:ascii="仿宋_GB2312" w:hAnsi="CESI仿宋-GB2312" w:eastAsia="仿宋_GB2312" w:cs="CESI仿宋-GB2312"/>
                <w:lang w:eastAsia="zh-CN"/>
              </w:rPr>
            </w:pPr>
            <w:r>
              <w:rPr>
                <w:rFonts w:hint="eastAsia" w:ascii="仿宋_GB2312" w:hAnsi="CESI仿宋-GB2312" w:eastAsia="仿宋_GB2312" w:cs="CESI仿宋-GB2312"/>
                <w:lang w:val="en-US" w:eastAsia="zh-CN"/>
              </w:rPr>
              <w:t>药化股负责</w:t>
            </w:r>
            <w:r>
              <w:rPr>
                <w:rFonts w:hint="eastAsia" w:ascii="仿宋_GB2312" w:hAnsi="CESI仿宋-GB2312" w:eastAsia="仿宋_GB2312" w:cs="CESI仿宋-GB2312"/>
                <w:lang w:eastAsia="zh-CN"/>
              </w:rPr>
              <w:t>每年对</w:t>
            </w:r>
            <w:r>
              <w:rPr>
                <w:rFonts w:hint="eastAsia" w:ascii="仿宋_GB2312" w:hAnsi="CESI仿宋-GB2312" w:eastAsia="仿宋_GB2312" w:cs="CESI仿宋-GB2312"/>
                <w:lang w:val="en-US" w:eastAsia="zh-CN"/>
              </w:rPr>
              <w:t>一</w:t>
            </w:r>
            <w:r>
              <w:rPr>
                <w:rFonts w:hint="eastAsia" w:ascii="仿宋_GB2312" w:hAnsi="CESI仿宋-GB2312" w:eastAsia="仿宋_GB2312" w:cs="CESI仿宋-GB2312"/>
                <w:lang w:eastAsia="zh-CN"/>
              </w:rPr>
              <w:t>级以上医疗机构进行全覆盖检查，</w:t>
            </w:r>
            <w:r>
              <w:rPr>
                <w:rFonts w:hint="eastAsia" w:ascii="仿宋_GB2312" w:hAnsi="CESI仿宋-GB2312" w:eastAsia="仿宋_GB2312" w:cs="CESI仿宋-GB2312"/>
                <w:lang w:val="en-US" w:eastAsia="zh-CN"/>
              </w:rPr>
              <w:t>药化稽查大队根据办案需要进行检查；</w:t>
            </w:r>
          </w:p>
          <w:p w14:paraId="5DBFC32A">
            <w:pPr>
              <w:pStyle w:val="2"/>
              <w:keepNext w:val="0"/>
              <w:keepLines w:val="0"/>
              <w:pageBreakBefore w:val="0"/>
              <w:widowControl/>
              <w:numPr>
                <w:ilvl w:val="0"/>
                <w:numId w:val="3"/>
              </w:numPr>
              <w:kinsoku/>
              <w:wordWrap/>
              <w:overflowPunct/>
              <w:topLinePunct w:val="0"/>
              <w:autoSpaceDE/>
              <w:autoSpaceDN/>
              <w:bidi w:val="0"/>
              <w:adjustRightInd/>
              <w:snapToGrid w:val="0"/>
              <w:spacing w:after="0" w:line="204" w:lineRule="auto"/>
              <w:jc w:val="both"/>
              <w:textAlignment w:val="auto"/>
              <w:rPr>
                <w:rFonts w:hint="eastAsia" w:ascii="仿宋_GB2312" w:hAnsi="CESI仿宋-GB2312" w:eastAsia="仿宋_GB2312" w:cs="CESI仿宋-GB2312"/>
                <w:lang w:eastAsia="zh-CN"/>
              </w:rPr>
            </w:pPr>
            <w:r>
              <w:rPr>
                <w:rFonts w:hint="eastAsia" w:ascii="仿宋_GB2312" w:hAnsi="CESI仿宋-GB2312" w:eastAsia="仿宋_GB2312" w:cs="CESI仿宋-GB2312"/>
                <w:lang w:eastAsia="zh-CN"/>
              </w:rPr>
              <w:t>对</w:t>
            </w:r>
            <w:r>
              <w:rPr>
                <w:rFonts w:hint="eastAsia" w:ascii="仿宋_GB2312" w:hAnsi="CESI仿宋-GB2312" w:eastAsia="仿宋_GB2312" w:cs="CESI仿宋-GB2312"/>
                <w:lang w:val="en-US" w:eastAsia="zh-CN"/>
              </w:rPr>
              <w:t>第1项以外的</w:t>
            </w:r>
            <w:r>
              <w:rPr>
                <w:rFonts w:hint="eastAsia" w:ascii="仿宋_GB2312" w:hAnsi="CESI仿宋-GB2312" w:eastAsia="仿宋_GB2312" w:cs="CESI仿宋-GB2312"/>
                <w:lang w:eastAsia="zh-CN"/>
              </w:rPr>
              <w:t>其余医疗机构，</w:t>
            </w:r>
            <w:r>
              <w:rPr>
                <w:rFonts w:hint="eastAsia" w:ascii="仿宋_GB2312" w:hAnsi="CESI仿宋-GB2312" w:eastAsia="仿宋_GB2312" w:cs="CESI仿宋-GB2312"/>
                <w:lang w:val="en-US" w:eastAsia="zh-CN" w:bidi="ar"/>
              </w:rPr>
              <w:t>各市场监管所每年确定</w:t>
            </w:r>
            <w:r>
              <w:rPr>
                <w:rFonts w:hint="eastAsia" w:ascii="仿宋_GB2312" w:hAnsi="CESI仿宋-GB2312" w:eastAsia="仿宋_GB2312" w:cs="CESI仿宋-GB2312"/>
                <w:lang w:val="en-US" w:eastAsia="zh-CN"/>
              </w:rPr>
              <w:t>检查家数不得低于辖区总数30%</w:t>
            </w:r>
            <w:r>
              <w:rPr>
                <w:rFonts w:hint="eastAsia" w:ascii="仿宋_GB2312" w:hAnsi="CESI仿宋-GB2312" w:eastAsia="仿宋_GB2312" w:cs="CESI仿宋-GB2312"/>
                <w:lang w:eastAsia="zh-CN"/>
              </w:rPr>
              <w:t>，对其购进、验收、储存药品管理情况进行检查，三年内对</w:t>
            </w:r>
            <w:r>
              <w:rPr>
                <w:rFonts w:hint="eastAsia" w:ascii="仿宋_GB2312" w:hAnsi="CESI仿宋-GB2312" w:eastAsia="仿宋_GB2312" w:cs="CESI仿宋-GB2312"/>
                <w:lang w:val="en-US" w:eastAsia="zh-CN"/>
              </w:rPr>
              <w:t>辖区</w:t>
            </w:r>
            <w:r>
              <w:rPr>
                <w:rFonts w:hint="eastAsia" w:ascii="仿宋_GB2312" w:hAnsi="CESI仿宋-GB2312" w:eastAsia="仿宋_GB2312" w:cs="CESI仿宋-GB2312"/>
                <w:lang w:eastAsia="zh-CN"/>
              </w:rPr>
              <w:t>医疗机构全部进行检查，</w:t>
            </w:r>
            <w:r>
              <w:rPr>
                <w:rFonts w:hint="eastAsia" w:ascii="仿宋_GB2312" w:hAnsi="CESI仿宋-GB2312" w:eastAsia="仿宋_GB2312" w:cs="CESI仿宋-GB2312"/>
                <w:lang w:val="en-US" w:eastAsia="zh-CN" w:bidi="ar"/>
              </w:rPr>
              <w:t>药化股、药化稽查大队根据监管工作实际分别组织实施随机抽查，抽查比例不得低于总数5%</w:t>
            </w:r>
            <w:r>
              <w:rPr>
                <w:rFonts w:hint="eastAsia" w:ascii="仿宋_GB2312" w:hAnsi="CESI仿宋-GB2312" w:eastAsia="仿宋_GB2312" w:cs="CESI仿宋-GB2312"/>
                <w:lang w:eastAsia="zh-CN"/>
              </w:rPr>
              <w:t>；</w:t>
            </w:r>
          </w:p>
          <w:p w14:paraId="7DF2355B">
            <w:pPr>
              <w:pStyle w:val="2"/>
              <w:keepNext w:val="0"/>
              <w:keepLines w:val="0"/>
              <w:pageBreakBefore w:val="0"/>
              <w:widowControl/>
              <w:kinsoku/>
              <w:wordWrap/>
              <w:overflowPunct/>
              <w:topLinePunct w:val="0"/>
              <w:autoSpaceDE/>
              <w:autoSpaceDN/>
              <w:bidi w:val="0"/>
              <w:adjustRightInd/>
              <w:snapToGrid w:val="0"/>
              <w:spacing w:after="0" w:line="204" w:lineRule="auto"/>
              <w:jc w:val="both"/>
              <w:textAlignment w:val="auto"/>
              <w:rPr>
                <w:rFonts w:hint="eastAsia" w:ascii="仿宋_GB2312" w:hAnsi="黑体" w:eastAsia="仿宋_GB2312"/>
                <w:lang w:eastAsia="zh-CN"/>
              </w:rPr>
            </w:pPr>
          </w:p>
        </w:tc>
        <w:tc>
          <w:tcPr>
            <w:tcW w:w="4071" w:type="dxa"/>
            <w:noWrap w:val="0"/>
            <w:vAlign w:val="center"/>
          </w:tcPr>
          <w:p w14:paraId="748C8FD5">
            <w:pPr>
              <w:pStyle w:val="2"/>
              <w:keepNext w:val="0"/>
              <w:keepLines w:val="0"/>
              <w:pageBreakBefore w:val="0"/>
              <w:widowControl/>
              <w:kinsoku/>
              <w:wordWrap/>
              <w:overflowPunct/>
              <w:topLinePunct w:val="0"/>
              <w:autoSpaceDE/>
              <w:autoSpaceDN/>
              <w:bidi w:val="0"/>
              <w:adjustRightInd/>
              <w:snapToGrid w:val="0"/>
              <w:spacing w:after="0" w:line="192" w:lineRule="auto"/>
              <w:jc w:val="both"/>
              <w:textAlignment w:val="auto"/>
              <w:rPr>
                <w:rFonts w:hint="eastAsia" w:ascii="仿宋_GB2312" w:hAnsi="黑体" w:eastAsia="仿宋_GB2312"/>
                <w:lang w:eastAsia="zh-CN"/>
              </w:rPr>
            </w:pPr>
            <w:r>
              <w:rPr>
                <w:rFonts w:hint="eastAsia" w:ascii="仿宋_GB2312" w:hAnsi="黑体" w:eastAsia="仿宋_GB2312"/>
                <w:lang w:eastAsia="zh-CN"/>
              </w:rPr>
              <w:t>《药品管理法》《疫苗管理法》《麻醉药品和精神药品管理条例》《疫苗储存和运输管理规范（2017年版）》、原国家食品药品监督管理局制定的《医疗机构药品监督管理办法（试行）》（国食药监安〔2011〕442号）《药品经营和使用质量监督管理办法》等法律法规及国家关于药品使用质量管理的相关规定</w:t>
            </w:r>
          </w:p>
        </w:tc>
        <w:tc>
          <w:tcPr>
            <w:tcW w:w="1250" w:type="dxa"/>
            <w:noWrap w:val="0"/>
            <w:vAlign w:val="center"/>
          </w:tcPr>
          <w:p w14:paraId="4EB2716A">
            <w:pPr>
              <w:pStyle w:val="2"/>
              <w:keepNext w:val="0"/>
              <w:keepLines w:val="0"/>
              <w:pageBreakBefore w:val="0"/>
              <w:widowControl/>
              <w:kinsoku/>
              <w:wordWrap/>
              <w:overflowPunct/>
              <w:topLinePunct w:val="0"/>
              <w:autoSpaceDE/>
              <w:autoSpaceDN/>
              <w:bidi w:val="0"/>
              <w:adjustRightInd/>
              <w:snapToGrid w:val="0"/>
              <w:spacing w:after="0" w:line="204" w:lineRule="auto"/>
              <w:jc w:val="center"/>
              <w:textAlignment w:val="auto"/>
              <w:rPr>
                <w:rFonts w:hint="eastAsia" w:ascii="仿宋_GB2312" w:hAnsi="黑体" w:eastAsia="仿宋_GB2312"/>
                <w:lang w:eastAsia="zh-CN"/>
              </w:rPr>
            </w:pPr>
            <w:r>
              <w:rPr>
                <w:rFonts w:hint="eastAsia" w:ascii="仿宋_GB2312" w:hAnsi="黑体" w:eastAsia="仿宋_GB2312" w:cs="Times New Roman"/>
                <w:lang w:val="en-US" w:eastAsia="zh-CN"/>
              </w:rPr>
              <w:t>药化股、药化稽查大队、各市场监管所</w:t>
            </w:r>
          </w:p>
        </w:tc>
        <w:tc>
          <w:tcPr>
            <w:tcW w:w="2568" w:type="dxa"/>
            <w:noWrap w:val="0"/>
            <w:vAlign w:val="center"/>
          </w:tcPr>
          <w:p w14:paraId="5B3793F0">
            <w:pPr>
              <w:pStyle w:val="2"/>
              <w:keepNext w:val="0"/>
              <w:keepLines w:val="0"/>
              <w:pageBreakBefore w:val="0"/>
              <w:widowControl/>
              <w:numPr>
                <w:ilvl w:val="0"/>
                <w:numId w:val="0"/>
              </w:numPr>
              <w:kinsoku/>
              <w:wordWrap/>
              <w:overflowPunct/>
              <w:topLinePunct w:val="0"/>
              <w:autoSpaceDE/>
              <w:autoSpaceDN/>
              <w:bidi w:val="0"/>
              <w:adjustRightInd/>
              <w:snapToGrid w:val="0"/>
              <w:spacing w:after="0" w:line="204" w:lineRule="auto"/>
              <w:jc w:val="both"/>
              <w:textAlignment w:val="auto"/>
              <w:rPr>
                <w:rFonts w:hint="eastAsia" w:ascii="仿宋_GB2312" w:hAnsi="黑体" w:eastAsia="仿宋_GB2312"/>
                <w:sz w:val="21"/>
                <w:szCs w:val="21"/>
                <w:lang w:eastAsia="zh-CN"/>
              </w:rPr>
            </w:pPr>
            <w:r>
              <w:rPr>
                <w:rFonts w:hint="eastAsia" w:ascii="仿宋_GB2312" w:hAnsi="黑体" w:eastAsia="仿宋_GB2312"/>
                <w:sz w:val="21"/>
                <w:szCs w:val="21"/>
                <w:lang w:eastAsia="zh-CN"/>
              </w:rPr>
              <w:t>1.所、队、股室抽查信息共享，</w:t>
            </w:r>
            <w:r>
              <w:rPr>
                <w:rFonts w:hint="eastAsia" w:ascii="仿宋_GB2312" w:hAnsi="黑体" w:eastAsia="仿宋_GB2312"/>
                <w:sz w:val="21"/>
                <w:szCs w:val="21"/>
                <w:lang w:val="en-US" w:eastAsia="zh-CN"/>
              </w:rPr>
              <w:t>尽量</w:t>
            </w:r>
            <w:r>
              <w:rPr>
                <w:rFonts w:hint="eastAsia" w:ascii="仿宋_GB2312" w:hAnsi="黑体" w:eastAsia="仿宋_GB2312"/>
                <w:sz w:val="21"/>
                <w:szCs w:val="21"/>
                <w:lang w:eastAsia="zh-CN"/>
              </w:rPr>
              <w:t>避免重复</w:t>
            </w:r>
            <w:r>
              <w:rPr>
                <w:rFonts w:hint="eastAsia" w:ascii="仿宋_GB2312" w:hAnsi="黑体" w:eastAsia="仿宋_GB2312"/>
                <w:sz w:val="21"/>
                <w:szCs w:val="21"/>
                <w:lang w:val="en-US" w:eastAsia="zh-CN"/>
              </w:rPr>
              <w:t>检查，以扩大覆盖面。</w:t>
            </w:r>
          </w:p>
          <w:p w14:paraId="53931650">
            <w:pPr>
              <w:pStyle w:val="2"/>
              <w:keepNext w:val="0"/>
              <w:keepLines w:val="0"/>
              <w:pageBreakBefore w:val="0"/>
              <w:widowControl/>
              <w:kinsoku/>
              <w:wordWrap/>
              <w:overflowPunct/>
              <w:topLinePunct w:val="0"/>
              <w:autoSpaceDE/>
              <w:autoSpaceDN/>
              <w:bidi w:val="0"/>
              <w:adjustRightInd/>
              <w:snapToGrid w:val="0"/>
              <w:spacing w:after="0" w:line="204" w:lineRule="auto"/>
              <w:jc w:val="both"/>
              <w:textAlignment w:val="auto"/>
              <w:rPr>
                <w:rFonts w:hint="eastAsia" w:ascii="仿宋_GB2312" w:hAnsi="黑体" w:eastAsia="仿宋_GB2312"/>
                <w:sz w:val="21"/>
                <w:szCs w:val="21"/>
                <w:lang w:eastAsia="zh-CN"/>
              </w:rPr>
            </w:pPr>
            <w:r>
              <w:rPr>
                <w:rFonts w:hint="eastAsia" w:ascii="仿宋_GB2312" w:hAnsi="黑体" w:eastAsia="仿宋_GB2312"/>
                <w:sz w:val="21"/>
                <w:szCs w:val="21"/>
                <w:lang w:val="en-US" w:eastAsia="zh-CN"/>
              </w:rPr>
              <w:t>2.</w:t>
            </w:r>
            <w:r>
              <w:rPr>
                <w:rFonts w:hint="eastAsia" w:ascii="仿宋_GB2312" w:hAnsi="黑体" w:eastAsia="仿宋_GB2312"/>
                <w:sz w:val="21"/>
                <w:szCs w:val="21"/>
                <w:lang w:eastAsia="zh-CN"/>
              </w:rPr>
              <w:t>对监督检查中发现的问题依法依规进行查处。需向卫生健康、</w:t>
            </w:r>
            <w:r>
              <w:rPr>
                <w:rFonts w:hint="eastAsia" w:ascii="仿宋_GB2312" w:hAnsi="黑体" w:eastAsia="仿宋_GB2312"/>
                <w:sz w:val="21"/>
                <w:szCs w:val="21"/>
                <w:lang w:val="en-US" w:eastAsia="zh-CN"/>
              </w:rPr>
              <w:t>医保</w:t>
            </w:r>
            <w:r>
              <w:rPr>
                <w:rFonts w:hint="eastAsia" w:ascii="仿宋_GB2312" w:hAnsi="黑体" w:eastAsia="仿宋_GB2312"/>
                <w:sz w:val="21"/>
                <w:szCs w:val="21"/>
                <w:lang w:eastAsia="zh-CN"/>
              </w:rPr>
              <w:t>等部门通报反馈的，按规定通报反馈；</w:t>
            </w:r>
          </w:p>
          <w:p w14:paraId="0D0A0BB7">
            <w:pPr>
              <w:pStyle w:val="2"/>
              <w:keepNext w:val="0"/>
              <w:keepLines w:val="0"/>
              <w:pageBreakBefore w:val="0"/>
              <w:widowControl/>
              <w:kinsoku/>
              <w:wordWrap/>
              <w:overflowPunct/>
              <w:topLinePunct w:val="0"/>
              <w:autoSpaceDE/>
              <w:autoSpaceDN/>
              <w:bidi w:val="0"/>
              <w:adjustRightInd/>
              <w:snapToGrid w:val="0"/>
              <w:spacing w:after="0" w:line="204" w:lineRule="auto"/>
              <w:jc w:val="both"/>
              <w:textAlignment w:val="auto"/>
              <w:rPr>
                <w:rFonts w:hint="eastAsia" w:ascii="仿宋_GB2312" w:hAnsi="黑体" w:eastAsia="仿宋_GB2312"/>
                <w:lang w:eastAsia="zh-CN"/>
              </w:rPr>
            </w:pPr>
            <w:r>
              <w:rPr>
                <w:rFonts w:hint="eastAsia" w:ascii="仿宋_GB2312" w:hAnsi="黑体" w:eastAsia="仿宋_GB2312"/>
                <w:sz w:val="21"/>
                <w:szCs w:val="21"/>
                <w:lang w:val="en-US" w:eastAsia="zh-CN"/>
              </w:rPr>
              <w:t>3</w:t>
            </w:r>
            <w:r>
              <w:rPr>
                <w:rFonts w:hint="eastAsia" w:ascii="仿宋_GB2312" w:hAnsi="黑体" w:eastAsia="仿宋_GB2312"/>
                <w:sz w:val="21"/>
                <w:szCs w:val="21"/>
                <w:lang w:eastAsia="zh-CN"/>
              </w:rPr>
              <w:t>.建立完善检查档案</w:t>
            </w:r>
            <w:r>
              <w:rPr>
                <w:rFonts w:hint="eastAsia" w:ascii="仿宋_GB2312" w:hAnsi="黑体" w:eastAsia="仿宋_GB2312"/>
                <w:sz w:val="21"/>
                <w:szCs w:val="21"/>
                <w:lang w:val="en-US" w:eastAsia="zh-CN"/>
              </w:rPr>
              <w:t>并复印汇总报药化股</w:t>
            </w:r>
            <w:r>
              <w:rPr>
                <w:rFonts w:hint="eastAsia" w:ascii="仿宋_GB2312" w:hAnsi="黑体" w:eastAsia="仿宋_GB2312"/>
                <w:sz w:val="21"/>
                <w:szCs w:val="21"/>
                <w:lang w:eastAsia="zh-CN"/>
              </w:rPr>
              <w:t>。</w:t>
            </w:r>
          </w:p>
        </w:tc>
      </w:tr>
      <w:tr w14:paraId="41AB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74" w:type="dxa"/>
            <w:noWrap w:val="0"/>
            <w:vAlign w:val="center"/>
          </w:tcPr>
          <w:p w14:paraId="46F44203">
            <w:pPr>
              <w:pStyle w:val="2"/>
              <w:keepNext w:val="0"/>
              <w:keepLines w:val="0"/>
              <w:pageBreakBefore w:val="0"/>
              <w:widowControl/>
              <w:kinsoku/>
              <w:wordWrap/>
              <w:overflowPunct/>
              <w:topLinePunct w:val="0"/>
              <w:autoSpaceDE/>
              <w:autoSpaceDN/>
              <w:bidi w:val="0"/>
              <w:adjustRightInd/>
              <w:snapToGrid w:val="0"/>
              <w:spacing w:after="0" w:line="204" w:lineRule="auto"/>
              <w:jc w:val="center"/>
              <w:textAlignment w:val="auto"/>
              <w:rPr>
                <w:rFonts w:hint="default" w:ascii="仿宋_GB2312" w:hAnsi="黑体" w:eastAsia="仿宋_GB2312"/>
                <w:lang w:val="en-US" w:eastAsia="zh-CN"/>
              </w:rPr>
            </w:pPr>
            <w:r>
              <w:rPr>
                <w:rFonts w:hint="eastAsia" w:ascii="仿宋_GB2312" w:hAnsi="黑体" w:eastAsia="仿宋_GB2312"/>
                <w:lang w:val="en-US" w:eastAsia="zh-CN"/>
              </w:rPr>
              <w:t>4</w:t>
            </w:r>
          </w:p>
        </w:tc>
        <w:tc>
          <w:tcPr>
            <w:tcW w:w="964" w:type="dxa"/>
            <w:noWrap w:val="0"/>
            <w:vAlign w:val="center"/>
          </w:tcPr>
          <w:p w14:paraId="06A720CF">
            <w:pPr>
              <w:pStyle w:val="2"/>
              <w:keepNext w:val="0"/>
              <w:keepLines w:val="0"/>
              <w:pageBreakBefore w:val="0"/>
              <w:widowControl/>
              <w:kinsoku/>
              <w:wordWrap/>
              <w:overflowPunct/>
              <w:topLinePunct w:val="0"/>
              <w:autoSpaceDE/>
              <w:autoSpaceDN/>
              <w:bidi w:val="0"/>
              <w:adjustRightInd/>
              <w:snapToGrid w:val="0"/>
              <w:spacing w:after="0" w:line="204" w:lineRule="auto"/>
              <w:jc w:val="center"/>
              <w:textAlignment w:val="auto"/>
              <w:rPr>
                <w:rFonts w:hint="eastAsia" w:ascii="仿宋_GB2312" w:hAnsi="黑体" w:eastAsia="仿宋_GB2312"/>
                <w:lang w:eastAsia="zh-CN"/>
              </w:rPr>
            </w:pPr>
            <w:r>
              <w:rPr>
                <w:rFonts w:hint="eastAsia" w:ascii="仿宋_GB2312" w:hAnsi="CESI仿宋-GB2312" w:eastAsia="仿宋_GB2312" w:cs="CESI仿宋-GB2312"/>
                <w:lang w:eastAsia="zh-CN"/>
              </w:rPr>
              <w:t>疾控机构及疫苗接种单位</w:t>
            </w:r>
          </w:p>
        </w:tc>
        <w:tc>
          <w:tcPr>
            <w:tcW w:w="5130" w:type="dxa"/>
            <w:noWrap w:val="0"/>
            <w:vAlign w:val="center"/>
          </w:tcPr>
          <w:p w14:paraId="1EA8B938">
            <w:pPr>
              <w:pStyle w:val="2"/>
              <w:keepNext w:val="0"/>
              <w:keepLines w:val="0"/>
              <w:pageBreakBefore w:val="0"/>
              <w:widowControl/>
              <w:kinsoku/>
              <w:wordWrap/>
              <w:overflowPunct/>
              <w:topLinePunct w:val="0"/>
              <w:autoSpaceDE/>
              <w:autoSpaceDN/>
              <w:bidi w:val="0"/>
              <w:adjustRightInd/>
              <w:snapToGrid w:val="0"/>
              <w:spacing w:after="0" w:line="204" w:lineRule="auto"/>
              <w:jc w:val="both"/>
              <w:textAlignment w:val="auto"/>
              <w:rPr>
                <w:rFonts w:hint="eastAsia" w:ascii="仿宋_GB2312" w:hAnsi="黑体" w:eastAsia="仿宋_GB2312"/>
                <w:lang w:eastAsia="zh-CN"/>
              </w:rPr>
            </w:pPr>
          </w:p>
          <w:p w14:paraId="0923DC3F">
            <w:pPr>
              <w:pStyle w:val="2"/>
              <w:keepNext w:val="0"/>
              <w:keepLines w:val="0"/>
              <w:pageBreakBefore w:val="0"/>
              <w:widowControl/>
              <w:kinsoku/>
              <w:wordWrap/>
              <w:overflowPunct/>
              <w:topLinePunct w:val="0"/>
              <w:autoSpaceDE/>
              <w:autoSpaceDN/>
              <w:bidi w:val="0"/>
              <w:adjustRightInd/>
              <w:snapToGrid w:val="0"/>
              <w:spacing w:after="0" w:line="204" w:lineRule="auto"/>
              <w:jc w:val="both"/>
              <w:textAlignment w:val="auto"/>
              <w:rPr>
                <w:rFonts w:hint="eastAsia" w:ascii="仿宋_GB2312" w:hAnsi="CESI仿宋-GB2312" w:eastAsia="仿宋_GB2312" w:cs="CESI仿宋-GB2312"/>
                <w:lang w:eastAsia="zh-CN"/>
              </w:rPr>
            </w:pPr>
            <w:r>
              <w:rPr>
                <w:rFonts w:hint="eastAsia" w:ascii="仿宋_GB2312" w:hAnsi="黑体" w:eastAsia="仿宋_GB2312"/>
                <w:lang w:val="en-US" w:eastAsia="zh-CN"/>
              </w:rPr>
              <w:t>药化股对县</w:t>
            </w:r>
            <w:r>
              <w:rPr>
                <w:rFonts w:hint="eastAsia" w:ascii="仿宋_GB2312" w:hAnsi="CESI仿宋-GB2312" w:eastAsia="仿宋_GB2312" w:cs="CESI仿宋-GB2312"/>
                <w:lang w:eastAsia="zh-CN" w:bidi="ar"/>
              </w:rPr>
              <w:t>疾病预防控制</w:t>
            </w:r>
            <w:r>
              <w:rPr>
                <w:rFonts w:hint="eastAsia" w:ascii="仿宋_GB2312" w:hAnsi="CESI仿宋-GB2312" w:eastAsia="仿宋_GB2312" w:cs="CESI仿宋-GB2312"/>
                <w:lang w:val="en-US" w:eastAsia="zh-CN" w:bidi="ar"/>
              </w:rPr>
              <w:t>中心</w:t>
            </w:r>
            <w:r>
              <w:rPr>
                <w:rFonts w:hint="eastAsia" w:ascii="仿宋_GB2312" w:hAnsi="CESI仿宋-GB2312" w:eastAsia="仿宋_GB2312" w:cs="CESI仿宋-GB2312"/>
                <w:lang w:eastAsia="zh-CN" w:bidi="ar"/>
              </w:rPr>
              <w:t>、</w:t>
            </w:r>
            <w:r>
              <w:rPr>
                <w:rFonts w:hint="eastAsia" w:ascii="仿宋_GB2312" w:hAnsi="CESI仿宋-GB2312" w:eastAsia="仿宋_GB2312" w:cs="CESI仿宋-GB2312"/>
                <w:lang w:val="en-US" w:eastAsia="zh-CN" w:bidi="ar"/>
              </w:rPr>
              <w:t>各</w:t>
            </w:r>
            <w:r>
              <w:rPr>
                <w:rFonts w:hint="eastAsia" w:ascii="仿宋_GB2312" w:hAnsi="CESI仿宋-GB2312" w:eastAsia="仿宋_GB2312" w:cs="CESI仿宋-GB2312"/>
                <w:lang w:eastAsia="zh-CN" w:bidi="ar"/>
              </w:rPr>
              <w:t>接种单位执行疫苗储存和运输管理规范情况进行检查1次。</w:t>
            </w:r>
            <w:r>
              <w:rPr>
                <w:rFonts w:hint="eastAsia" w:ascii="仿宋_GB2312" w:hAnsi="CESI仿宋-GB2312" w:eastAsia="仿宋_GB2312" w:cs="CESI仿宋-GB2312"/>
                <w:lang w:val="en-US" w:eastAsia="zh-CN"/>
              </w:rPr>
              <w:t>药化稽查大队根据办案需要进行检查。</w:t>
            </w:r>
          </w:p>
          <w:p w14:paraId="45BEB453">
            <w:pPr>
              <w:pStyle w:val="2"/>
              <w:keepNext w:val="0"/>
              <w:keepLines w:val="0"/>
              <w:pageBreakBefore w:val="0"/>
              <w:widowControl/>
              <w:kinsoku/>
              <w:wordWrap/>
              <w:overflowPunct/>
              <w:topLinePunct w:val="0"/>
              <w:autoSpaceDE/>
              <w:autoSpaceDN/>
              <w:bidi w:val="0"/>
              <w:adjustRightInd/>
              <w:snapToGrid w:val="0"/>
              <w:spacing w:after="0" w:line="204" w:lineRule="auto"/>
              <w:jc w:val="both"/>
              <w:textAlignment w:val="auto"/>
              <w:rPr>
                <w:rFonts w:hint="eastAsia" w:ascii="仿宋_GB2312" w:hAnsi="黑体" w:eastAsia="仿宋_GB2312"/>
                <w:lang w:eastAsia="zh-CN"/>
              </w:rPr>
            </w:pPr>
          </w:p>
        </w:tc>
        <w:tc>
          <w:tcPr>
            <w:tcW w:w="4071" w:type="dxa"/>
            <w:noWrap w:val="0"/>
            <w:vAlign w:val="center"/>
          </w:tcPr>
          <w:p w14:paraId="345C52B8">
            <w:pPr>
              <w:pStyle w:val="2"/>
              <w:keepNext w:val="0"/>
              <w:keepLines w:val="0"/>
              <w:pageBreakBefore w:val="0"/>
              <w:widowControl/>
              <w:kinsoku/>
              <w:wordWrap/>
              <w:overflowPunct/>
              <w:topLinePunct w:val="0"/>
              <w:autoSpaceDE/>
              <w:autoSpaceDN/>
              <w:bidi w:val="0"/>
              <w:adjustRightInd/>
              <w:snapToGrid w:val="0"/>
              <w:spacing w:after="0" w:line="204" w:lineRule="auto"/>
              <w:jc w:val="both"/>
              <w:textAlignment w:val="auto"/>
              <w:rPr>
                <w:rFonts w:hint="eastAsia" w:ascii="仿宋_GB2312" w:hAnsi="黑体" w:eastAsia="仿宋_GB2312"/>
                <w:lang w:eastAsia="zh-CN"/>
              </w:rPr>
            </w:pPr>
            <w:r>
              <w:rPr>
                <w:rFonts w:hint="eastAsia" w:ascii="仿宋_GB2312" w:hAnsi="黑体" w:eastAsia="仿宋_GB2312"/>
                <w:lang w:eastAsia="zh-CN"/>
              </w:rPr>
              <w:t>《药品管理法》《疫苗管理法》《药品经营和使用质量监督管理办法》《疫苗生产流通管理规定》《疫苗储存和运输管理规范（2017年版）》</w:t>
            </w:r>
          </w:p>
        </w:tc>
        <w:tc>
          <w:tcPr>
            <w:tcW w:w="1250" w:type="dxa"/>
            <w:noWrap w:val="0"/>
            <w:vAlign w:val="center"/>
          </w:tcPr>
          <w:p w14:paraId="4F846973">
            <w:pPr>
              <w:pStyle w:val="2"/>
              <w:keepNext w:val="0"/>
              <w:keepLines w:val="0"/>
              <w:pageBreakBefore w:val="0"/>
              <w:widowControl/>
              <w:kinsoku/>
              <w:wordWrap/>
              <w:overflowPunct/>
              <w:topLinePunct w:val="0"/>
              <w:autoSpaceDE/>
              <w:autoSpaceDN/>
              <w:bidi w:val="0"/>
              <w:adjustRightInd/>
              <w:snapToGrid w:val="0"/>
              <w:spacing w:after="0" w:line="204" w:lineRule="auto"/>
              <w:jc w:val="center"/>
              <w:textAlignment w:val="auto"/>
              <w:rPr>
                <w:rFonts w:hint="eastAsia" w:ascii="仿宋_GB2312" w:hAnsi="黑体" w:eastAsia="仿宋_GB2312"/>
                <w:lang w:eastAsia="zh-CN"/>
              </w:rPr>
            </w:pPr>
            <w:r>
              <w:rPr>
                <w:rFonts w:hint="eastAsia" w:ascii="仿宋_GB2312" w:hAnsi="黑体" w:eastAsia="仿宋_GB2312" w:cs="Times New Roman"/>
                <w:lang w:val="en-US" w:eastAsia="zh-CN"/>
              </w:rPr>
              <w:t>药化股、药化稽查大队</w:t>
            </w:r>
          </w:p>
        </w:tc>
        <w:tc>
          <w:tcPr>
            <w:tcW w:w="2568" w:type="dxa"/>
            <w:noWrap w:val="0"/>
            <w:vAlign w:val="center"/>
          </w:tcPr>
          <w:p w14:paraId="4912E9B9">
            <w:pPr>
              <w:pStyle w:val="2"/>
              <w:keepNext w:val="0"/>
              <w:keepLines w:val="0"/>
              <w:pageBreakBefore w:val="0"/>
              <w:widowControl/>
              <w:kinsoku/>
              <w:wordWrap/>
              <w:overflowPunct/>
              <w:topLinePunct w:val="0"/>
              <w:autoSpaceDE/>
              <w:autoSpaceDN/>
              <w:bidi w:val="0"/>
              <w:adjustRightInd/>
              <w:snapToGrid w:val="0"/>
              <w:spacing w:after="0" w:line="204" w:lineRule="auto"/>
              <w:jc w:val="both"/>
              <w:textAlignment w:val="auto"/>
              <w:rPr>
                <w:rFonts w:hint="eastAsia" w:ascii="仿宋_GB2312" w:hAnsi="黑体" w:eastAsia="仿宋_GB2312"/>
                <w:sz w:val="21"/>
                <w:szCs w:val="21"/>
                <w:lang w:eastAsia="zh-CN"/>
              </w:rPr>
            </w:pPr>
            <w:r>
              <w:rPr>
                <w:rFonts w:hint="eastAsia" w:ascii="仿宋_GB2312" w:hAnsi="黑体" w:eastAsia="仿宋_GB2312"/>
                <w:sz w:val="21"/>
                <w:szCs w:val="21"/>
                <w:lang w:eastAsia="zh-CN"/>
              </w:rPr>
              <w:t>1.对检查发现的问题依法依规查处。需向卫生健康等部门通报反馈情况的，按规定通报反馈。</w:t>
            </w:r>
          </w:p>
          <w:p w14:paraId="2BD20F4D">
            <w:pPr>
              <w:pStyle w:val="2"/>
              <w:keepNext w:val="0"/>
              <w:keepLines w:val="0"/>
              <w:pageBreakBefore w:val="0"/>
              <w:widowControl/>
              <w:kinsoku/>
              <w:wordWrap/>
              <w:overflowPunct/>
              <w:topLinePunct w:val="0"/>
              <w:autoSpaceDE/>
              <w:autoSpaceDN/>
              <w:bidi w:val="0"/>
              <w:adjustRightInd/>
              <w:snapToGrid w:val="0"/>
              <w:spacing w:after="0" w:line="204" w:lineRule="auto"/>
              <w:jc w:val="both"/>
              <w:textAlignment w:val="auto"/>
              <w:rPr>
                <w:rFonts w:hint="eastAsia" w:ascii="仿宋_GB2312" w:hAnsi="黑体" w:eastAsia="仿宋_GB2312"/>
                <w:sz w:val="21"/>
                <w:szCs w:val="21"/>
                <w:lang w:eastAsia="zh-CN"/>
              </w:rPr>
            </w:pPr>
            <w:r>
              <w:rPr>
                <w:rFonts w:hint="eastAsia" w:ascii="仿宋_GB2312" w:hAnsi="黑体" w:eastAsia="仿宋_GB2312"/>
                <w:sz w:val="21"/>
                <w:szCs w:val="21"/>
                <w:lang w:eastAsia="zh-CN"/>
              </w:rPr>
              <w:t>2.建立完善检查档案。</w:t>
            </w:r>
          </w:p>
        </w:tc>
      </w:tr>
    </w:tbl>
    <w:p w14:paraId="5C5D7E7E">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ascii="仿宋_GB2312" w:hAnsi="仿宋" w:eastAsia="仿宋_GB2312"/>
          <w:color w:val="000000"/>
          <w:sz w:val="10"/>
          <w:szCs w:val="10"/>
          <w:lang w:val="en"/>
        </w:rPr>
      </w:pPr>
    </w:p>
    <w:sectPr>
      <w:footerReference r:id="rId5" w:type="default"/>
      <w:footerReference r:id="rId6" w:type="even"/>
      <w:pgSz w:w="16838" w:h="11906" w:orient="landscape"/>
      <w:pgMar w:top="1587" w:right="2098" w:bottom="1474" w:left="1985" w:header="851" w:footer="1474"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D4E265-B480-438A-95EA-360E70ABBA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B2EE67A-9C04-4748-93DD-803B2A26F9E2}"/>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7C9BF3C2-CEC3-4844-9867-E7F3D4C024D1}"/>
  </w:font>
  <w:font w:name="方正小标宋_GBK">
    <w:panose1 w:val="02000000000000000000"/>
    <w:charset w:val="86"/>
    <w:family w:val="auto"/>
    <w:pitch w:val="default"/>
    <w:sig w:usb0="A00002BF" w:usb1="38CF7CFA" w:usb2="00082016" w:usb3="00000000" w:csb0="00040001" w:csb1="00000000"/>
    <w:embedRegular r:id="rId4" w:fontKey="{8D9F4E0A-4478-4CDA-95F1-EA21F443A092}"/>
  </w:font>
  <w:font w:name="方正大标宋简体">
    <w:panose1 w:val="02000000000000000000"/>
    <w:charset w:val="86"/>
    <w:family w:val="auto"/>
    <w:pitch w:val="default"/>
    <w:sig w:usb0="A00002BF" w:usb1="184F6CFA" w:usb2="00000012" w:usb3="00000000" w:csb0="00040001" w:csb1="00000000"/>
    <w:embedRegular r:id="rId5" w:fontKey="{9AE4B39D-52AC-47AA-A1FE-5B8377A048D8}"/>
  </w:font>
  <w:font w:name="仿宋">
    <w:panose1 w:val="02010609060101010101"/>
    <w:charset w:val="86"/>
    <w:family w:val="modern"/>
    <w:pitch w:val="default"/>
    <w:sig w:usb0="800002BF" w:usb1="38CF7CFA" w:usb2="00000016" w:usb3="00000000" w:csb0="00040001" w:csb1="00000000"/>
    <w:embedRegular r:id="rId6" w:fontKey="{0B4008BA-F206-40C2-A131-E7A534B9999A}"/>
  </w:font>
  <w:font w:name="华文仿宋">
    <w:panose1 w:val="02010600040101010101"/>
    <w:charset w:val="86"/>
    <w:family w:val="auto"/>
    <w:pitch w:val="default"/>
    <w:sig w:usb0="00000287" w:usb1="080F0000" w:usb2="00000000" w:usb3="00000000" w:csb0="0004009F" w:csb1="DFD70000"/>
    <w:embedRegular r:id="rId7" w:fontKey="{84CF3DB7-54E5-4F12-84D0-F5B39679EE78}"/>
  </w:font>
  <w:font w:name="CESI仿宋-GB2312">
    <w:altName w:val="仿宋"/>
    <w:panose1 w:val="02000500000000000000"/>
    <w:charset w:val="86"/>
    <w:family w:val="auto"/>
    <w:pitch w:val="default"/>
    <w:sig w:usb0="00000000" w:usb1="00000000" w:usb2="00000010" w:usb3="00000000" w:csb0="0004000F" w:csb1="00000000"/>
    <w:embedRegular r:id="rId8" w:fontKey="{7BB8085D-A906-4FD1-8AAE-3797E19CDDA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8D17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B4B878">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cVl2PdAQAAvgMAAA4AAAAAAAAA&#10;AQAgAAAAHgEAAGRycy9lMm9Eb2MueG1sUEsFBgAAAAAGAAYAWQEAAG0FAAAAAA==&#10;">
              <v:fill on="f" focussize="0,0"/>
              <v:stroke on="f"/>
              <v:imagedata o:title=""/>
              <o:lock v:ext="edit" aspectratio="f"/>
              <v:textbox inset="0mm,0mm,0mm,0mm" style="mso-fit-shape-to-text:t;">
                <w:txbxContent>
                  <w:p w14:paraId="0DB4B878">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E5EB4">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87B4DB">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hc+VPdAQAAvgMAAA4AAAAAAAAA&#10;AQAgAAAAHgEAAGRycy9lMm9Eb2MueG1sUEsFBgAAAAAGAAYAWQEAAG0FAAAAAA==&#10;">
              <v:fill on="f" focussize="0,0"/>
              <v:stroke on="f"/>
              <v:imagedata o:title=""/>
              <o:lock v:ext="edit" aspectratio="f"/>
              <v:textbox inset="0mm,0mm,0mm,0mm" style="mso-fit-shape-to-text:t;">
                <w:txbxContent>
                  <w:p w14:paraId="6487B4DB">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CDFAD">
    <w:pPr>
      <w:pStyle w:val="5"/>
      <w:rPr>
        <w:rFonts w:hint="eastAsia" w:ascii="宋体" w:hAnsi="宋体"/>
        <w:sz w:val="28"/>
        <w:szCs w:val="28"/>
        <w:lang w:eastAsia="zh-CN"/>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ED9E7C">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pWSil3gEAAL4DAAAOAAAAAAAA&#10;AAEAIAAAAB4BAABkcnMvZTJvRG9jLnhtbFBLBQYAAAAABgAGAFkBAABuBQAAAAA=&#10;">
              <v:fill on="f" focussize="0,0"/>
              <v:stroke on="f"/>
              <v:imagedata o:title=""/>
              <o:lock v:ext="edit" aspectratio="f"/>
              <v:textbox inset="0mm,0mm,0mm,0mm" style="mso-fit-shape-to-text:t;">
                <w:txbxContent>
                  <w:p w14:paraId="44ED9E7C">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88A2C">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CF1FE4">
                          <w:pPr>
                            <w:pStyle w:val="5"/>
                          </w:pPr>
                          <w:r>
                            <w:t xml:space="preserve">— </w:t>
                          </w:r>
                          <w:r>
                            <w:fldChar w:fldCharType="begin"/>
                          </w:r>
                          <w:r>
                            <w:instrText xml:space="preserve"> PAGE  \* MERGEFORMAT </w:instrText>
                          </w:r>
                          <w:r>
                            <w:fldChar w:fldCharType="separate"/>
                          </w:r>
                          <w:r>
                            <w:t>8</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zPGzs3gEAAL4DAAAOAAAAAAAA&#10;AAEAIAAAAB4BAABkcnMvZTJvRG9jLnhtbFBLBQYAAAAABgAGAFkBAABuBQAAAAA=&#10;">
              <v:fill on="f" focussize="0,0"/>
              <v:stroke on="f"/>
              <v:imagedata o:title=""/>
              <o:lock v:ext="edit" aspectratio="f"/>
              <v:textbox inset="0mm,0mm,0mm,0mm" style="mso-fit-shape-to-text:t;">
                <w:txbxContent>
                  <w:p w14:paraId="71CF1FE4">
                    <w:pPr>
                      <w:pStyle w:val="5"/>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3B7014"/>
    <w:multiLevelType w:val="singleLevel"/>
    <w:tmpl w:val="C23B7014"/>
    <w:lvl w:ilvl="0" w:tentative="0">
      <w:start w:val="1"/>
      <w:numFmt w:val="decimal"/>
      <w:suff w:val="nothing"/>
      <w:lvlText w:val="%1、"/>
      <w:lvlJc w:val="left"/>
    </w:lvl>
  </w:abstractNum>
  <w:abstractNum w:abstractNumId="1">
    <w:nsid w:val="D64A641F"/>
    <w:multiLevelType w:val="singleLevel"/>
    <w:tmpl w:val="D64A641F"/>
    <w:lvl w:ilvl="0" w:tentative="0">
      <w:start w:val="1"/>
      <w:numFmt w:val="decimal"/>
      <w:suff w:val="nothing"/>
      <w:lvlText w:val="%1、"/>
      <w:lvlJc w:val="left"/>
    </w:lvl>
  </w:abstractNum>
  <w:abstractNum w:abstractNumId="2">
    <w:nsid w:val="62168B41"/>
    <w:multiLevelType w:val="singleLevel"/>
    <w:tmpl w:val="62168B41"/>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evenAndOddHeaders w:val="1"/>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F06"/>
    <w:rsid w:val="00032572"/>
    <w:rsid w:val="00062E49"/>
    <w:rsid w:val="000C2BDC"/>
    <w:rsid w:val="000E040A"/>
    <w:rsid w:val="001152E7"/>
    <w:rsid w:val="001236EB"/>
    <w:rsid w:val="0014530B"/>
    <w:rsid w:val="001460D0"/>
    <w:rsid w:val="0015244D"/>
    <w:rsid w:val="001563BE"/>
    <w:rsid w:val="001613BC"/>
    <w:rsid w:val="001C7820"/>
    <w:rsid w:val="001E5C9A"/>
    <w:rsid w:val="001E7106"/>
    <w:rsid w:val="00207F14"/>
    <w:rsid w:val="00210908"/>
    <w:rsid w:val="00235F73"/>
    <w:rsid w:val="00260556"/>
    <w:rsid w:val="00274593"/>
    <w:rsid w:val="00283A54"/>
    <w:rsid w:val="002B2253"/>
    <w:rsid w:val="002C27C5"/>
    <w:rsid w:val="002F1F4F"/>
    <w:rsid w:val="003372E6"/>
    <w:rsid w:val="003373C0"/>
    <w:rsid w:val="00346235"/>
    <w:rsid w:val="0038495B"/>
    <w:rsid w:val="00397CC7"/>
    <w:rsid w:val="003C17BE"/>
    <w:rsid w:val="003C4C2A"/>
    <w:rsid w:val="003E3086"/>
    <w:rsid w:val="00415F06"/>
    <w:rsid w:val="00432786"/>
    <w:rsid w:val="00461167"/>
    <w:rsid w:val="00462BB4"/>
    <w:rsid w:val="00470EA0"/>
    <w:rsid w:val="004A2F28"/>
    <w:rsid w:val="004C0A72"/>
    <w:rsid w:val="004D49C2"/>
    <w:rsid w:val="004E1E2C"/>
    <w:rsid w:val="004F12EF"/>
    <w:rsid w:val="004F62D4"/>
    <w:rsid w:val="00515851"/>
    <w:rsid w:val="00515A47"/>
    <w:rsid w:val="005329D1"/>
    <w:rsid w:val="00547B8D"/>
    <w:rsid w:val="005527B0"/>
    <w:rsid w:val="00590C3B"/>
    <w:rsid w:val="005C0750"/>
    <w:rsid w:val="0061199C"/>
    <w:rsid w:val="0061611B"/>
    <w:rsid w:val="00622E9E"/>
    <w:rsid w:val="00637655"/>
    <w:rsid w:val="00671FB2"/>
    <w:rsid w:val="006C5889"/>
    <w:rsid w:val="006E1CDD"/>
    <w:rsid w:val="00706FBF"/>
    <w:rsid w:val="00756E9F"/>
    <w:rsid w:val="00767C20"/>
    <w:rsid w:val="00790EE9"/>
    <w:rsid w:val="007A7E96"/>
    <w:rsid w:val="007B4612"/>
    <w:rsid w:val="007C437D"/>
    <w:rsid w:val="007D4A87"/>
    <w:rsid w:val="007E7378"/>
    <w:rsid w:val="008253CA"/>
    <w:rsid w:val="00826399"/>
    <w:rsid w:val="008368F3"/>
    <w:rsid w:val="00852685"/>
    <w:rsid w:val="00870F04"/>
    <w:rsid w:val="008743A3"/>
    <w:rsid w:val="0087579B"/>
    <w:rsid w:val="008E21BE"/>
    <w:rsid w:val="00900367"/>
    <w:rsid w:val="00910295"/>
    <w:rsid w:val="00915C7B"/>
    <w:rsid w:val="00917797"/>
    <w:rsid w:val="0094477F"/>
    <w:rsid w:val="00987178"/>
    <w:rsid w:val="009C6404"/>
    <w:rsid w:val="009D4B19"/>
    <w:rsid w:val="00A12822"/>
    <w:rsid w:val="00A3136E"/>
    <w:rsid w:val="00A41C48"/>
    <w:rsid w:val="00A65B99"/>
    <w:rsid w:val="00A8155C"/>
    <w:rsid w:val="00AB71A5"/>
    <w:rsid w:val="00AD4689"/>
    <w:rsid w:val="00B055BB"/>
    <w:rsid w:val="00B44206"/>
    <w:rsid w:val="00B64826"/>
    <w:rsid w:val="00BA44B1"/>
    <w:rsid w:val="00BB335D"/>
    <w:rsid w:val="00BC21A4"/>
    <w:rsid w:val="00BD6639"/>
    <w:rsid w:val="00C0463C"/>
    <w:rsid w:val="00C20E4B"/>
    <w:rsid w:val="00C27E34"/>
    <w:rsid w:val="00C32F4B"/>
    <w:rsid w:val="00C3315E"/>
    <w:rsid w:val="00C46544"/>
    <w:rsid w:val="00C70D6D"/>
    <w:rsid w:val="00C74700"/>
    <w:rsid w:val="00C92816"/>
    <w:rsid w:val="00C93129"/>
    <w:rsid w:val="00C9603E"/>
    <w:rsid w:val="00CA2A25"/>
    <w:rsid w:val="00CA3A41"/>
    <w:rsid w:val="00CD02BB"/>
    <w:rsid w:val="00CE5F67"/>
    <w:rsid w:val="00D0133C"/>
    <w:rsid w:val="00D33C49"/>
    <w:rsid w:val="00D42C3B"/>
    <w:rsid w:val="00D65F44"/>
    <w:rsid w:val="00D71306"/>
    <w:rsid w:val="00D770EF"/>
    <w:rsid w:val="00DF20FD"/>
    <w:rsid w:val="00E04D0E"/>
    <w:rsid w:val="00E07241"/>
    <w:rsid w:val="00E14DBB"/>
    <w:rsid w:val="00E2489D"/>
    <w:rsid w:val="00E26714"/>
    <w:rsid w:val="00E57186"/>
    <w:rsid w:val="00E813EB"/>
    <w:rsid w:val="00E86585"/>
    <w:rsid w:val="00EA7AFA"/>
    <w:rsid w:val="00EB1DF5"/>
    <w:rsid w:val="00EC1516"/>
    <w:rsid w:val="00EC1BEE"/>
    <w:rsid w:val="00F04CAB"/>
    <w:rsid w:val="00F071CB"/>
    <w:rsid w:val="00F43B21"/>
    <w:rsid w:val="00F464D2"/>
    <w:rsid w:val="00F46FD5"/>
    <w:rsid w:val="00F50582"/>
    <w:rsid w:val="00F87644"/>
    <w:rsid w:val="00FC04EB"/>
    <w:rsid w:val="00FC70EC"/>
    <w:rsid w:val="00FE25D7"/>
    <w:rsid w:val="00FE7583"/>
    <w:rsid w:val="0B690E52"/>
    <w:rsid w:val="14A8334C"/>
    <w:rsid w:val="17A244E3"/>
    <w:rsid w:val="17BB0EB8"/>
    <w:rsid w:val="26B541ED"/>
    <w:rsid w:val="27461509"/>
    <w:rsid w:val="28DB7811"/>
    <w:rsid w:val="3A7B3BE0"/>
    <w:rsid w:val="3FE91382"/>
    <w:rsid w:val="40CF682C"/>
    <w:rsid w:val="44AF045A"/>
    <w:rsid w:val="577D5EA0"/>
    <w:rsid w:val="5B635B17"/>
    <w:rsid w:val="5BFCB929"/>
    <w:rsid w:val="5D466894"/>
    <w:rsid w:val="5F276969"/>
    <w:rsid w:val="60E23BE0"/>
    <w:rsid w:val="63584057"/>
    <w:rsid w:val="6960348A"/>
    <w:rsid w:val="70730581"/>
    <w:rsid w:val="763FD055"/>
    <w:rsid w:val="7B3F8C4E"/>
    <w:rsid w:val="7D5C571B"/>
    <w:rsid w:val="C3D6BCD9"/>
    <w:rsid w:val="E57DE5E9"/>
    <w:rsid w:val="F7FB436F"/>
    <w:rsid w:val="FBBB334E"/>
    <w:rsid w:val="FF6835F8"/>
    <w:rsid w:val="FFF729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widowControl/>
      <w:spacing w:after="120" w:line="276" w:lineRule="auto"/>
      <w:jc w:val="left"/>
    </w:pPr>
    <w:rPr>
      <w:rFonts w:ascii="微软雅黑" w:hAnsi="微软雅黑" w:eastAsia="微软雅黑"/>
      <w:kern w:val="0"/>
      <w:sz w:val="22"/>
      <w:lang w:eastAsia="en-US"/>
    </w:rPr>
  </w:style>
  <w:style w:type="paragraph" w:styleId="3">
    <w:name w:val="Date"/>
    <w:basedOn w:val="1"/>
    <w:next w:val="1"/>
    <w:link w:val="9"/>
    <w:unhideWhenUsed/>
    <w:qFormat/>
    <w:uiPriority w:val="99"/>
    <w:pPr>
      <w:ind w:left="100" w:leftChars="2500"/>
    </w:pPr>
  </w:style>
  <w:style w:type="paragraph" w:styleId="4">
    <w:name w:val="Balloon Text"/>
    <w:basedOn w:val="1"/>
    <w:link w:val="10"/>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kern w:val="0"/>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9">
    <w:name w:val="日期 Char"/>
    <w:link w:val="3"/>
    <w:semiHidden/>
    <w:uiPriority w:val="99"/>
    <w:rPr>
      <w:kern w:val="2"/>
      <w:sz w:val="21"/>
      <w:szCs w:val="22"/>
    </w:rPr>
  </w:style>
  <w:style w:type="character" w:customStyle="1" w:styleId="10">
    <w:name w:val="批注框文本 Char"/>
    <w:link w:val="4"/>
    <w:semiHidden/>
    <w:uiPriority w:val="99"/>
    <w:rPr>
      <w:kern w:val="2"/>
      <w:sz w:val="18"/>
      <w:szCs w:val="18"/>
    </w:rPr>
  </w:style>
  <w:style w:type="character" w:customStyle="1" w:styleId="11">
    <w:name w:val="页脚 Char"/>
    <w:link w:val="5"/>
    <w:uiPriority w:val="99"/>
    <w:rPr>
      <w:sz w:val="18"/>
      <w:szCs w:val="18"/>
    </w:rPr>
  </w:style>
  <w:style w:type="character" w:customStyle="1" w:styleId="12">
    <w:name w:val="页眉 Char"/>
    <w:link w:val="6"/>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3809</Words>
  <Characters>3886</Characters>
  <Lines>17</Lines>
  <Paragraphs>4</Paragraphs>
  <TotalTime>64</TotalTime>
  <ScaleCrop>false</ScaleCrop>
  <LinksUpToDate>false</LinksUpToDate>
  <CharactersWithSpaces>3918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2019-08-09T00:41:00Z</dcterms:created>
  <dc:creator>微软用户</dc:creator>
  <cp:lastModifiedBy>烨子</cp:lastModifiedBy>
  <cp:lastPrinted>2025-04-15T02:06:00Z</cp:lastPrinted>
  <dcterms:modified xsi:type="dcterms:W3CDTF">2025-04-29T02:53:36Z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eyJoZGlkIjoiMjFmYzcxODg1ZDJjZTE2ZmM2OGE3ZWE0NmI3NWEwZjUiLCJ1c2VySWQiOiI4NjUyNTQzMTAifQ==</vt:lpwstr>
  </property>
  <property fmtid="{D5CDD505-2E9C-101B-9397-08002B2CF9AE}" pid="4" name="ICV">
    <vt:lpwstr>FF8E4903292B4452AE3E877EA36D912C_13</vt:lpwstr>
  </property>
</Properties>
</file>