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89" w:rsidRDefault="00F6537A">
      <w:pPr>
        <w:jc w:val="center"/>
        <w:rPr>
          <w:rFonts w:hint="eastAsia"/>
          <w:sz w:val="44"/>
          <w:szCs w:val="44"/>
        </w:rPr>
      </w:pPr>
      <w:r>
        <w:rPr>
          <w:rFonts w:hint="eastAsia"/>
          <w:sz w:val="44"/>
          <w:szCs w:val="44"/>
        </w:rPr>
        <w:t>社旗县民政局</w:t>
      </w:r>
      <w:r>
        <w:rPr>
          <w:rFonts w:hint="eastAsia"/>
          <w:sz w:val="44"/>
          <w:szCs w:val="44"/>
        </w:rPr>
        <w:t>提振</w:t>
      </w:r>
      <w:r w:rsidR="00876A89">
        <w:rPr>
          <w:rFonts w:hint="eastAsia"/>
          <w:sz w:val="44"/>
          <w:szCs w:val="44"/>
        </w:rPr>
        <w:t>消费专项行动</w:t>
      </w:r>
    </w:p>
    <w:p w:rsidR="00FA70F3" w:rsidRDefault="00F6537A">
      <w:pPr>
        <w:jc w:val="center"/>
        <w:rPr>
          <w:sz w:val="44"/>
          <w:szCs w:val="44"/>
        </w:rPr>
      </w:pPr>
      <w:r>
        <w:rPr>
          <w:rFonts w:hint="eastAsia"/>
          <w:sz w:val="44"/>
          <w:szCs w:val="44"/>
        </w:rPr>
        <w:t>工作落实开展情况</w:t>
      </w:r>
    </w:p>
    <w:p w:rsidR="00FA70F3" w:rsidRDefault="00FA70F3">
      <w:pPr>
        <w:rPr>
          <w:sz w:val="44"/>
          <w:szCs w:val="44"/>
        </w:rPr>
      </w:pPr>
    </w:p>
    <w:p w:rsidR="00FA70F3" w:rsidRDefault="00F6537A" w:rsidP="00073274">
      <w:pPr>
        <w:ind w:firstLineChars="200" w:firstLine="640"/>
        <w:rPr>
          <w:rFonts w:ascii="仿宋" w:eastAsia="仿宋" w:hAnsi="仿宋" w:cs="仿宋"/>
          <w:sz w:val="32"/>
          <w:szCs w:val="32"/>
        </w:rPr>
      </w:pPr>
      <w:r>
        <w:rPr>
          <w:rFonts w:ascii="仿宋" w:eastAsia="仿宋" w:hAnsi="仿宋" w:cs="仿宋" w:hint="eastAsia"/>
          <w:sz w:val="32"/>
          <w:szCs w:val="32"/>
        </w:rPr>
        <w:t>为切实促进全县经济稳定向好发展，社旗县民政局积极贯彻落实《河南省人民政府</w:t>
      </w:r>
      <w:r w:rsidR="00876A89">
        <w:rPr>
          <w:rFonts w:ascii="仿宋" w:eastAsia="仿宋" w:hAnsi="仿宋" w:cs="仿宋" w:hint="eastAsia"/>
          <w:sz w:val="32"/>
          <w:szCs w:val="32"/>
        </w:rPr>
        <w:t>办公厅</w:t>
      </w:r>
      <w:r>
        <w:rPr>
          <w:rFonts w:ascii="仿宋" w:eastAsia="仿宋" w:hAnsi="仿宋" w:cs="仿宋" w:hint="eastAsia"/>
          <w:sz w:val="32"/>
          <w:szCs w:val="32"/>
        </w:rPr>
        <w:t>〈关于印发</w:t>
      </w:r>
      <w:r w:rsidR="00876A89">
        <w:rPr>
          <w:rFonts w:ascii="仿宋" w:eastAsia="仿宋" w:hAnsi="仿宋" w:cs="仿宋" w:hint="eastAsia"/>
          <w:sz w:val="32"/>
          <w:szCs w:val="32"/>
        </w:rPr>
        <w:t>河南省</w:t>
      </w:r>
      <w:r w:rsidR="00876A89" w:rsidRPr="00876A89">
        <w:rPr>
          <w:rFonts w:ascii="仿宋" w:eastAsia="仿宋" w:hAnsi="仿宋" w:cs="仿宋" w:hint="eastAsia"/>
          <w:sz w:val="32"/>
          <w:szCs w:val="32"/>
        </w:rPr>
        <w:t>提振消费专项行动</w:t>
      </w:r>
      <w:r w:rsidR="00876A89">
        <w:rPr>
          <w:rFonts w:ascii="仿宋" w:eastAsia="仿宋" w:hAnsi="仿宋" w:cs="仿宋" w:hint="eastAsia"/>
          <w:sz w:val="32"/>
          <w:szCs w:val="32"/>
        </w:rPr>
        <w:t>实施方案</w:t>
      </w:r>
      <w:r>
        <w:rPr>
          <w:rFonts w:ascii="仿宋" w:eastAsia="仿宋" w:hAnsi="仿宋" w:cs="仿宋" w:hint="eastAsia"/>
          <w:sz w:val="32"/>
          <w:szCs w:val="32"/>
        </w:rPr>
        <w:t>的通知〉》</w:t>
      </w:r>
      <w:r>
        <w:rPr>
          <w:rFonts w:ascii="仿宋" w:eastAsia="仿宋" w:hAnsi="仿宋" w:cs="仿宋" w:hint="eastAsia"/>
          <w:sz w:val="32"/>
          <w:szCs w:val="32"/>
        </w:rPr>
        <w:t>(</w:t>
      </w:r>
      <w:r>
        <w:rPr>
          <w:rFonts w:ascii="仿宋" w:eastAsia="仿宋" w:hAnsi="仿宋" w:cs="仿宋" w:hint="eastAsia"/>
          <w:sz w:val="32"/>
          <w:szCs w:val="32"/>
        </w:rPr>
        <w:t>豫政〔</w:t>
      </w:r>
      <w:r>
        <w:rPr>
          <w:rFonts w:ascii="仿宋" w:eastAsia="仿宋" w:hAnsi="仿宋" w:cs="仿宋" w:hint="eastAsia"/>
          <w:sz w:val="32"/>
          <w:szCs w:val="32"/>
        </w:rPr>
        <w:t>202</w:t>
      </w:r>
      <w:r w:rsidR="00876A89">
        <w:rPr>
          <w:rFonts w:ascii="仿宋" w:eastAsia="仿宋" w:hAnsi="仿宋" w:cs="仿宋" w:hint="eastAsia"/>
          <w:sz w:val="32"/>
          <w:szCs w:val="32"/>
        </w:rPr>
        <w:t>5</w:t>
      </w:r>
      <w:r>
        <w:rPr>
          <w:rFonts w:ascii="仿宋" w:eastAsia="仿宋" w:hAnsi="仿宋" w:cs="仿宋" w:hint="eastAsia"/>
          <w:sz w:val="32"/>
          <w:szCs w:val="32"/>
        </w:rPr>
        <w:t>〕</w:t>
      </w:r>
      <w:r w:rsidR="00876A89">
        <w:rPr>
          <w:rFonts w:ascii="仿宋" w:eastAsia="仿宋" w:hAnsi="仿宋" w:cs="仿宋" w:hint="eastAsia"/>
          <w:sz w:val="32"/>
          <w:szCs w:val="32"/>
        </w:rPr>
        <w:t>27</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要求，现将工作落实开展情况总结如下：</w:t>
      </w:r>
    </w:p>
    <w:p w:rsidR="00FA70F3" w:rsidRDefault="00073274">
      <w:pPr>
        <w:overflowPunct w:val="0"/>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F6537A">
        <w:rPr>
          <w:rFonts w:ascii="Times New Roman" w:eastAsia="黑体" w:hAnsi="Times New Roman" w:cs="Times New Roman"/>
          <w:sz w:val="32"/>
          <w:szCs w:val="32"/>
        </w:rPr>
        <w:t>、保障低收入群体基本生活</w:t>
      </w:r>
    </w:p>
    <w:p w:rsidR="00073274" w:rsidRDefault="00F6537A" w:rsidP="00073274">
      <w:pPr>
        <w:overflowPunct w:val="0"/>
        <w:spacing w:line="550" w:lineRule="exact"/>
        <w:ind w:firstLineChars="200" w:firstLine="640"/>
        <w:rPr>
          <w:rFonts w:ascii="仿宋" w:eastAsia="仿宋" w:hAnsi="仿宋" w:cs="Times New Roman" w:hint="eastAsia"/>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）健全完善社会救助体系。</w:t>
      </w:r>
      <w:r w:rsidR="00073274">
        <w:rPr>
          <w:rFonts w:ascii="仿宋" w:eastAsia="仿宋" w:hAnsi="仿宋" w:cs="仿宋"/>
          <w:sz w:val="32"/>
          <w:szCs w:val="32"/>
        </w:rPr>
        <w:t>健全分层分类的社会救助体系，推进社会救助扩围增效。贯彻落实社会救助保障标准自然增长机制，提高农村低保和特困供养标准，推进城乡低保统筹发展。</w:t>
      </w:r>
      <w:r w:rsidR="00073274" w:rsidRPr="00073274">
        <w:rPr>
          <w:rFonts w:ascii="仿宋" w:eastAsia="仿宋" w:hAnsi="仿宋" w:cs="Times New Roman" w:hint="eastAsia"/>
          <w:sz w:val="32"/>
          <w:szCs w:val="32"/>
        </w:rPr>
        <w:t>出台了《关于加强低收人人口动态监测和救助帮扶工作巩固脱贫攻坚兜底保障成果的实施意见》，根据低收入人口动态监测预警，按照家庭困难类型依法提供常态化救助帮扶，加强与教育、医疗、卫健、住房和人力资源等部门的线下数据共享。2025年1至7月全县新增低保1781人，特困供养146人，低保边缘人口2532人，低收入人口监测预警系统总预警266次，其中紧急等级101次、一般等级165次，已入户处置266户</w:t>
      </w:r>
      <w:r w:rsidR="00073274">
        <w:rPr>
          <w:rFonts w:ascii="仿宋" w:eastAsia="仿宋" w:hAnsi="仿宋" w:cs="Times New Roman" w:hint="eastAsia"/>
          <w:sz w:val="32"/>
          <w:szCs w:val="32"/>
        </w:rPr>
        <w:t>。</w:t>
      </w:r>
    </w:p>
    <w:p w:rsidR="00073274" w:rsidRPr="00073274" w:rsidRDefault="00073274" w:rsidP="00073274">
      <w:pPr>
        <w:overflowPunct w:val="0"/>
        <w:spacing w:line="550" w:lineRule="exact"/>
        <w:ind w:firstLineChars="200" w:firstLine="640"/>
        <w:rPr>
          <w:rFonts w:ascii="仿宋" w:eastAsia="仿宋" w:hAnsi="仿宋"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w:t>
      </w:r>
      <w:r w:rsidRPr="00073274">
        <w:rPr>
          <w:rFonts w:ascii="楷体" w:eastAsia="楷体" w:hAnsi="楷体" w:cs="Times New Roman" w:hint="eastAsia"/>
          <w:sz w:val="32"/>
          <w:szCs w:val="32"/>
        </w:rPr>
        <w:t>推进服务类社会救助。</w:t>
      </w:r>
      <w:r w:rsidRPr="00073274">
        <w:rPr>
          <w:rFonts w:ascii="仿宋" w:eastAsia="仿宋" w:hAnsi="仿宋" w:cs="Times New Roman" w:hint="eastAsia"/>
          <w:sz w:val="32"/>
          <w:szCs w:val="32"/>
        </w:rPr>
        <w:t>积极探索实施“五化一转”模式开展服务类社会救助试点工作，推动社会救助由单一物质救助向“物质+服务”救助模式转变，更好地满足了困难群众多样化救助需求。创新“社会救助+慈善救助+社工+志愿者服务”联动机制，整合社会救助</w:t>
      </w:r>
      <w:bookmarkStart w:id="0" w:name="_GoBack"/>
      <w:bookmarkEnd w:id="0"/>
      <w:r w:rsidRPr="00073274">
        <w:rPr>
          <w:rFonts w:ascii="仿宋" w:eastAsia="仿宋" w:hAnsi="仿宋" w:cs="Times New Roman" w:hint="eastAsia"/>
          <w:sz w:val="32"/>
          <w:szCs w:val="32"/>
        </w:rPr>
        <w:t>、慈善、社工、未成年</w:t>
      </w:r>
      <w:r w:rsidRPr="00073274">
        <w:rPr>
          <w:rFonts w:ascii="仿宋" w:eastAsia="仿宋" w:hAnsi="仿宋" w:cs="Times New Roman" w:hint="eastAsia"/>
          <w:sz w:val="32"/>
          <w:szCs w:val="32"/>
        </w:rPr>
        <w:lastRenderedPageBreak/>
        <w:t>人保护、志愿服务、村卫生室等机构，建立县、乡镇、村“1+16+N”三级阵地（1个县服务类社会救助中心+16个乡镇服务类社会救助站+多个村级服务点），初步形成“五社联动”服务网络。截止目前，共培育了社旗县福泰医康养服务中心等58家专业服务类社会组织和社会救助服务项目，为1068户1603名困难群众逐户、逐人订制服务清单，累计开展无偿服务5342人次，有偿服务惠及296人。</w:t>
      </w:r>
    </w:p>
    <w:p w:rsidR="00FA70F3" w:rsidRDefault="00F6537A" w:rsidP="00073274">
      <w:pPr>
        <w:overflowPunct w:val="0"/>
        <w:spacing w:line="550" w:lineRule="exact"/>
        <w:ind w:firstLineChars="200" w:firstLine="640"/>
        <w:rPr>
          <w:rFonts w:ascii="仿宋" w:eastAsia="仿宋" w:hAnsi="仿宋" w:cs="仿宋"/>
          <w:sz w:val="32"/>
          <w:szCs w:val="32"/>
        </w:rPr>
      </w:pPr>
      <w:r>
        <w:rPr>
          <w:rFonts w:ascii="Times New Roman" w:eastAsia="楷体" w:hAnsi="Times New Roman" w:cs="Times New Roman"/>
          <w:sz w:val="32"/>
          <w:szCs w:val="32"/>
        </w:rPr>
        <w:t>（</w:t>
      </w:r>
      <w:r w:rsidR="00073274">
        <w:rPr>
          <w:rFonts w:ascii="Times New Roman" w:eastAsia="楷体" w:hAnsi="Times New Roman" w:cs="Times New Roman" w:hint="eastAsia"/>
          <w:sz w:val="32"/>
          <w:szCs w:val="32"/>
        </w:rPr>
        <w:t>三</w:t>
      </w:r>
      <w:r>
        <w:rPr>
          <w:rFonts w:ascii="Times New Roman" w:eastAsia="楷体" w:hAnsi="Times New Roman" w:cs="Times New Roman"/>
          <w:sz w:val="32"/>
          <w:szCs w:val="32"/>
        </w:rPr>
        <w:t>）进一步巩固</w:t>
      </w:r>
      <w:r>
        <w:rPr>
          <w:rFonts w:ascii="Times New Roman" w:eastAsia="楷体" w:hAnsi="Times New Roman" w:cs="Times New Roman"/>
          <w:sz w:val="32"/>
          <w:szCs w:val="32"/>
        </w:rPr>
        <w:t>完善儿童福利保障制度。</w:t>
      </w:r>
      <w:r>
        <w:rPr>
          <w:rFonts w:ascii="仿宋" w:eastAsia="仿宋" w:hAnsi="仿宋" w:cs="仿宋"/>
          <w:sz w:val="32"/>
          <w:szCs w:val="32"/>
        </w:rPr>
        <w:t>持续开展孤儿事实无人抚养儿童精细服务精确保障行动，依托乡镇（街道）儿童督导员、村（居）儿童主任，定期走访摸排，做到及早发现、及时认定、应保尽保。协调推动落实孤儿医疗、康复、教育、就业、住房等方面的保障，实施好</w:t>
      </w:r>
      <w:r>
        <w:rPr>
          <w:rFonts w:ascii="仿宋" w:eastAsia="仿宋" w:hAnsi="仿宋" w:cs="仿宋" w:hint="eastAsia"/>
          <w:sz w:val="32"/>
          <w:szCs w:val="32"/>
        </w:rPr>
        <w:t>“</w:t>
      </w:r>
      <w:r>
        <w:rPr>
          <w:rFonts w:ascii="仿宋" w:eastAsia="仿宋" w:hAnsi="仿宋" w:cs="仿宋"/>
          <w:sz w:val="32"/>
          <w:szCs w:val="32"/>
        </w:rPr>
        <w:t>福彩圆梦</w:t>
      </w:r>
      <w:r>
        <w:rPr>
          <w:rFonts w:ascii="仿宋" w:eastAsia="仿宋" w:hAnsi="仿宋" w:cs="仿宋"/>
          <w:sz w:val="32"/>
          <w:szCs w:val="32"/>
        </w:rPr>
        <w:t>孤儿助学工程</w:t>
      </w:r>
      <w:r>
        <w:rPr>
          <w:rFonts w:ascii="仿宋" w:eastAsia="仿宋" w:hAnsi="仿宋" w:cs="仿宋" w:hint="eastAsia"/>
          <w:sz w:val="32"/>
          <w:szCs w:val="32"/>
        </w:rPr>
        <w:t>”</w:t>
      </w:r>
      <w:r>
        <w:rPr>
          <w:rFonts w:ascii="仿宋" w:eastAsia="仿宋" w:hAnsi="仿宋" w:cs="仿宋"/>
          <w:sz w:val="32"/>
          <w:szCs w:val="32"/>
        </w:rPr>
        <w:t>和</w:t>
      </w:r>
      <w:r>
        <w:rPr>
          <w:rFonts w:ascii="仿宋" w:eastAsia="仿宋" w:hAnsi="仿宋" w:cs="仿宋" w:hint="eastAsia"/>
          <w:sz w:val="32"/>
          <w:szCs w:val="32"/>
        </w:rPr>
        <w:t>“</w:t>
      </w:r>
      <w:r>
        <w:rPr>
          <w:rFonts w:ascii="仿宋" w:eastAsia="仿宋" w:hAnsi="仿宋" w:cs="仿宋"/>
          <w:sz w:val="32"/>
          <w:szCs w:val="32"/>
        </w:rPr>
        <w:t>孤儿康复明天计划</w:t>
      </w:r>
      <w:r>
        <w:rPr>
          <w:rFonts w:ascii="仿宋" w:eastAsia="仿宋" w:hAnsi="仿宋" w:cs="仿宋" w:hint="eastAsia"/>
          <w:sz w:val="32"/>
          <w:szCs w:val="32"/>
        </w:rPr>
        <w:t>”</w:t>
      </w:r>
      <w:r>
        <w:rPr>
          <w:rFonts w:ascii="仿宋" w:eastAsia="仿宋" w:hAnsi="仿宋" w:cs="仿宋"/>
          <w:sz w:val="32"/>
          <w:szCs w:val="32"/>
        </w:rPr>
        <w:t>项目。开展儿童福利机构精准化管理精细化服务质量提升年活动，深入推进儿童福利机构养育、医疗、康复、教育和社会工作一体化发展。认真落实收养政策，规范收养登记管理，拓展</w:t>
      </w:r>
      <w:r>
        <w:rPr>
          <w:rFonts w:ascii="仿宋" w:eastAsia="仿宋" w:hAnsi="仿宋" w:cs="仿宋" w:hint="eastAsia"/>
          <w:sz w:val="32"/>
          <w:szCs w:val="32"/>
        </w:rPr>
        <w:t>“</w:t>
      </w:r>
      <w:r>
        <w:rPr>
          <w:rFonts w:ascii="仿宋" w:eastAsia="仿宋" w:hAnsi="仿宋" w:cs="仿宋"/>
          <w:sz w:val="32"/>
          <w:szCs w:val="32"/>
        </w:rPr>
        <w:t>收养</w:t>
      </w:r>
      <w:r>
        <w:rPr>
          <w:rFonts w:ascii="仿宋" w:eastAsia="仿宋" w:hAnsi="仿宋" w:cs="仿宋"/>
          <w:sz w:val="32"/>
          <w:szCs w:val="32"/>
        </w:rPr>
        <w:t>+</w:t>
      </w:r>
      <w:r>
        <w:rPr>
          <w:rFonts w:ascii="仿宋" w:eastAsia="仿宋" w:hAnsi="仿宋" w:cs="仿宋"/>
          <w:sz w:val="32"/>
          <w:szCs w:val="32"/>
        </w:rPr>
        <w:t>互联网</w:t>
      </w:r>
      <w:r>
        <w:rPr>
          <w:rFonts w:ascii="仿宋" w:eastAsia="仿宋" w:hAnsi="仿宋" w:cs="仿宋" w:hint="eastAsia"/>
          <w:sz w:val="32"/>
          <w:szCs w:val="32"/>
        </w:rPr>
        <w:t>”</w:t>
      </w:r>
      <w:r>
        <w:rPr>
          <w:rFonts w:ascii="仿宋" w:eastAsia="仿宋" w:hAnsi="仿宋" w:cs="仿宋"/>
          <w:sz w:val="32"/>
          <w:szCs w:val="32"/>
        </w:rPr>
        <w:t>服务，切实维护收养当事人和未成年人合法权益。</w:t>
      </w:r>
    </w:p>
    <w:p w:rsidR="00FA70F3" w:rsidRDefault="00F6537A">
      <w:pPr>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w:t>
      </w:r>
      <w:r w:rsidR="00073274">
        <w:rPr>
          <w:rFonts w:ascii="楷体" w:eastAsia="楷体" w:hAnsi="楷体" w:cs="楷体" w:hint="eastAsia"/>
          <w:sz w:val="32"/>
          <w:szCs w:val="32"/>
        </w:rPr>
        <w:t>四</w:t>
      </w:r>
      <w:r>
        <w:rPr>
          <w:rFonts w:ascii="楷体" w:eastAsia="楷体" w:hAnsi="楷体" w:cs="楷体" w:hint="eastAsia"/>
          <w:sz w:val="32"/>
          <w:szCs w:val="32"/>
        </w:rPr>
        <w:t>）持续完善残疾人服务体系。</w:t>
      </w:r>
      <w:r>
        <w:rPr>
          <w:rFonts w:ascii="仿宋_GB2312" w:eastAsia="仿宋_GB2312" w:hAnsi="仿宋_GB2312" w:cs="仿宋_GB2312" w:hint="eastAsia"/>
          <w:sz w:val="32"/>
          <w:szCs w:val="32"/>
        </w:rPr>
        <w:t>持续推进民政农村重度残疾人照护服务设施建设，进一步提升完善基础设施条件。建立健全资金监管、考核评价机制，确保资金安全、合规、有效使用，依托敬养老机构建设的农村重残机构可持续运营。加快精神障碍社区康复建设工作，制定精神障碍社区康复工作实施方案，建设精神障碍社区康复示范点，推动精神障碍社区康复站点发挥积极作用。深化全县“跨省通办”“全程</w:t>
      </w:r>
      <w:r>
        <w:rPr>
          <w:rFonts w:ascii="仿宋_GB2312" w:eastAsia="仿宋_GB2312" w:hAnsi="仿宋_GB2312" w:cs="仿宋_GB2312" w:hint="eastAsia"/>
          <w:sz w:val="32"/>
          <w:szCs w:val="32"/>
        </w:rPr>
        <w:lastRenderedPageBreak/>
        <w:t>网办”服务工作，落实残疾人“两项补贴”提标政策。探索建立康复辅助器具社区租赁服务体系。</w:t>
      </w:r>
    </w:p>
    <w:p w:rsidR="00073274" w:rsidRPr="00073274" w:rsidRDefault="00073274" w:rsidP="00073274">
      <w:pPr>
        <w:ind w:firstLineChars="200" w:firstLine="640"/>
        <w:rPr>
          <w:rFonts w:ascii="楷体" w:eastAsia="楷体" w:hAnsi="楷体" w:cs="楷体"/>
          <w:sz w:val="32"/>
          <w:szCs w:val="32"/>
        </w:rPr>
      </w:pPr>
      <w:r>
        <w:rPr>
          <w:rFonts w:ascii="黑体" w:eastAsia="黑体" w:hAnsi="黑体" w:cs="黑体" w:hint="eastAsia"/>
          <w:sz w:val="32"/>
          <w:szCs w:val="32"/>
        </w:rPr>
        <w:t>二</w:t>
      </w:r>
      <w:r>
        <w:rPr>
          <w:rFonts w:ascii="黑体" w:eastAsia="黑体" w:hAnsi="黑体" w:cs="黑体" w:hint="eastAsia"/>
          <w:sz w:val="32"/>
          <w:szCs w:val="32"/>
        </w:rPr>
        <w:t>、加快居家养老服务体系建设</w:t>
      </w:r>
    </w:p>
    <w:p w:rsidR="00073274" w:rsidRDefault="00073274" w:rsidP="00073274">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（一）</w:t>
      </w:r>
      <w:r w:rsidRPr="00073274">
        <w:rPr>
          <w:rFonts w:ascii="楷体" w:eastAsia="楷体" w:hAnsi="楷体" w:cs="楷体" w:hint="eastAsia"/>
          <w:sz w:val="32"/>
          <w:szCs w:val="32"/>
        </w:rPr>
        <w:t>推动敬老院转型升级。</w:t>
      </w:r>
      <w:r w:rsidR="00876A89" w:rsidRPr="00073274">
        <w:rPr>
          <w:rFonts w:ascii="仿宋" w:eastAsia="仿宋" w:hAnsi="仿宋" w:cs="楷体" w:hint="eastAsia"/>
          <w:sz w:val="32"/>
          <w:szCs w:val="32"/>
        </w:rPr>
        <w:t>持续巩固提升公办养老服务体系，</w:t>
      </w:r>
      <w:r w:rsidR="00876A89" w:rsidRPr="00876A89">
        <w:rPr>
          <w:rFonts w:ascii="仿宋" w:eastAsia="仿宋" w:hAnsi="仿宋" w:cs="楷体" w:hint="eastAsia"/>
          <w:sz w:val="32"/>
          <w:szCs w:val="32"/>
        </w:rPr>
        <w:t>通过新建、改（扩）、购置设施设备等措施，推动</w:t>
      </w:r>
      <w:r w:rsidR="00876A89">
        <w:rPr>
          <w:rFonts w:ascii="仿宋" w:eastAsia="仿宋" w:hAnsi="仿宋" w:cs="楷体" w:hint="eastAsia"/>
          <w:sz w:val="32"/>
          <w:szCs w:val="32"/>
        </w:rPr>
        <w:t>乡镇敬老院增加养老服务指导功能，逐步转型成为区域养老服务中心。</w:t>
      </w:r>
      <w:r w:rsidRPr="00073274">
        <w:rPr>
          <w:rFonts w:ascii="仿宋" w:eastAsia="仿宋" w:hAnsi="仿宋" w:cs="楷体" w:hint="eastAsia"/>
          <w:sz w:val="32"/>
          <w:szCs w:val="32"/>
        </w:rPr>
        <w:t>根据轻重缓急、基础条件成熟程度等情况，按计划推动乡镇敬老院逐步转型升级改造成区域性综合养老服务中心，实现养老服务从兜底保障向普惠型养老转变。2025年，计划完成兴隆镇、苗店镇、大冯营镇、晋庄镇、太和镇、朱集镇敬老院转型升级改造为区域性养老服务中心任务。至目前，兴隆镇、苗店镇、朱集镇已完成转型升级。</w:t>
      </w:r>
    </w:p>
    <w:p w:rsidR="00876A89" w:rsidRDefault="00073274" w:rsidP="00073274">
      <w:pPr>
        <w:pStyle w:val="a0"/>
        <w:rPr>
          <w:rFonts w:ascii="仿宋" w:eastAsia="仿宋" w:hAnsi="仿宋" w:cs="仿宋" w:hint="eastAsia"/>
          <w:szCs w:val="32"/>
        </w:rPr>
      </w:pPr>
      <w:r>
        <w:rPr>
          <w:rFonts w:ascii="楷体" w:eastAsia="楷体" w:hAnsi="楷体" w:cs="楷体" w:hint="eastAsia"/>
          <w:szCs w:val="32"/>
        </w:rPr>
        <w:t>（二）社区养老服务设施</w:t>
      </w:r>
      <w:r w:rsidR="00876A89">
        <w:rPr>
          <w:rFonts w:ascii="楷体" w:eastAsia="楷体" w:hAnsi="楷体" w:cs="楷体" w:hint="eastAsia"/>
          <w:szCs w:val="32"/>
        </w:rPr>
        <w:t>建设</w:t>
      </w:r>
      <w:r>
        <w:rPr>
          <w:rFonts w:ascii="楷体" w:eastAsia="楷体" w:hAnsi="楷体" w:cs="楷体" w:hint="eastAsia"/>
          <w:szCs w:val="32"/>
        </w:rPr>
        <w:t>。</w:t>
      </w:r>
      <w:r w:rsidRPr="00073274">
        <w:rPr>
          <w:rFonts w:ascii="仿宋" w:eastAsia="仿宋" w:hAnsi="仿宋" w:cs="仿宋" w:hint="eastAsia"/>
          <w:szCs w:val="32"/>
        </w:rPr>
        <w:t>目前，全县已建各类养老机构69家，养老床位7879张，平均每千名老人拥有养老床位70张，其中护理型床位5515张，占比70%。社区居家养老服务机构共17家，养老床位2679张，每千名城市居民平均拥有养老床位72张，其中护理型床位1934张、占比72.2%。一镇两办综合养老服务中心已建成3个。社区日间照料中心已建成11家，居民小区养老服务中心16家。智慧养老服务平台已建成并投入使用，实现了县、街道（乡镇）、社区、养老服务机构和有需求的老年人家庭与市级养老服务平台对接，全面联网运营；目前入网人数已达13.97万人</w:t>
      </w:r>
      <w:r w:rsidR="00876A89">
        <w:rPr>
          <w:rFonts w:ascii="仿宋" w:eastAsia="仿宋" w:hAnsi="仿宋" w:cs="仿宋" w:hint="eastAsia"/>
          <w:szCs w:val="32"/>
        </w:rPr>
        <w:t>。</w:t>
      </w:r>
    </w:p>
    <w:p w:rsidR="00073274" w:rsidRDefault="00876A89" w:rsidP="00073274">
      <w:pPr>
        <w:pStyle w:val="a0"/>
        <w:rPr>
          <w:rFonts w:ascii="仿宋" w:eastAsia="仿宋" w:hAnsi="仿宋" w:cs="仿宋" w:hint="eastAsia"/>
          <w:szCs w:val="32"/>
        </w:rPr>
      </w:pPr>
      <w:r>
        <w:rPr>
          <w:rFonts w:ascii="楷体" w:eastAsia="楷体" w:hAnsi="楷体" w:cs="楷体" w:hint="eastAsia"/>
          <w:szCs w:val="32"/>
        </w:rPr>
        <w:t>（</w:t>
      </w:r>
      <w:r>
        <w:rPr>
          <w:rFonts w:ascii="楷体" w:eastAsia="楷体" w:hAnsi="楷体" w:cs="楷体" w:hint="eastAsia"/>
          <w:szCs w:val="32"/>
        </w:rPr>
        <w:t>三</w:t>
      </w:r>
      <w:r>
        <w:rPr>
          <w:rFonts w:ascii="楷体" w:eastAsia="楷体" w:hAnsi="楷体" w:cs="楷体" w:hint="eastAsia"/>
          <w:szCs w:val="32"/>
        </w:rPr>
        <w:t>）</w:t>
      </w:r>
      <w:r>
        <w:rPr>
          <w:rFonts w:ascii="楷体" w:eastAsia="楷体" w:hAnsi="楷体" w:cs="楷体" w:hint="eastAsia"/>
          <w:szCs w:val="32"/>
        </w:rPr>
        <w:t>完善老年助餐服务。</w:t>
      </w:r>
      <w:r w:rsidRPr="00876A89">
        <w:rPr>
          <w:rFonts w:ascii="仿宋" w:eastAsia="仿宋" w:hAnsi="仿宋" w:cs="楷体" w:hint="eastAsia"/>
          <w:b/>
          <w:szCs w:val="32"/>
        </w:rPr>
        <w:t>一是</w:t>
      </w:r>
      <w:r w:rsidRPr="00876A89">
        <w:rPr>
          <w:rFonts w:ascii="仿宋" w:eastAsia="仿宋" w:hAnsi="仿宋" w:cs="楷体" w:hint="eastAsia"/>
          <w:szCs w:val="32"/>
        </w:rPr>
        <w:t>依据省市老年助餐服务规范标准和工作指引，推进全县老年助餐服务标准化建设，</w:t>
      </w:r>
      <w:r w:rsidRPr="00876A89">
        <w:rPr>
          <w:rFonts w:ascii="仿宋" w:eastAsia="仿宋" w:hAnsi="仿宋" w:cs="楷体" w:hint="eastAsia"/>
          <w:szCs w:val="32"/>
        </w:rPr>
        <w:lastRenderedPageBreak/>
        <w:t>综合考虑辖区老年人口规模、就餐需求、服务半径等因素，合理布局老年助餐服务场所，全年建成36个老年助餐场所，实现老年助餐服务覆盖全县40%的城镇社区和10%的行政村，每个乡镇（街道）均有1个能够提供配餐服务的老年食堂。</w:t>
      </w:r>
      <w:r w:rsidRPr="00876A89">
        <w:rPr>
          <w:rFonts w:ascii="仿宋" w:eastAsia="仿宋" w:hAnsi="仿宋" w:cs="楷体" w:hint="eastAsia"/>
          <w:b/>
          <w:szCs w:val="32"/>
        </w:rPr>
        <w:t>二是</w:t>
      </w:r>
      <w:r w:rsidRPr="00876A89">
        <w:rPr>
          <w:rFonts w:ascii="仿宋" w:eastAsia="仿宋" w:hAnsi="仿宋" w:cs="仿宋" w:hint="eastAsia"/>
          <w:szCs w:val="32"/>
        </w:rPr>
        <w:t>推广“明厨亮灶”。高度重视养老机构食品安全问题，在全县敬老院全面推广“明厨亮灶”工程，通过安装监控设备，将厨房操作间实时画面展示给老人及家属，接受社会监督。目前，全县敬老院全部完成“明厨亮灶”建设，目前已上线2家，剩余敬老院将在下半年上线。</w:t>
      </w:r>
    </w:p>
    <w:p w:rsidR="00876A89" w:rsidRPr="00073274" w:rsidRDefault="00876A89" w:rsidP="00073274">
      <w:pPr>
        <w:pStyle w:val="a0"/>
      </w:pPr>
    </w:p>
    <w:sectPr w:rsidR="00876A89" w:rsidRPr="00073274" w:rsidSect="00876A89">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7A" w:rsidRDefault="00F6537A" w:rsidP="00876A89">
      <w:r>
        <w:separator/>
      </w:r>
    </w:p>
  </w:endnote>
  <w:endnote w:type="continuationSeparator" w:id="0">
    <w:p w:rsidR="00F6537A" w:rsidRDefault="00F6537A" w:rsidP="0087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13778"/>
      <w:docPartObj>
        <w:docPartGallery w:val="Page Numbers (Bottom of Page)"/>
        <w:docPartUnique/>
      </w:docPartObj>
    </w:sdtPr>
    <w:sdtContent>
      <w:p w:rsidR="00876A89" w:rsidRDefault="00876A89">
        <w:pPr>
          <w:pStyle w:val="a6"/>
          <w:jc w:val="center"/>
        </w:pPr>
        <w:r>
          <w:fldChar w:fldCharType="begin"/>
        </w:r>
        <w:r>
          <w:instrText>PAGE   \* MERGEFORMAT</w:instrText>
        </w:r>
        <w:r>
          <w:fldChar w:fldCharType="separate"/>
        </w:r>
        <w:r w:rsidRPr="00876A89">
          <w:rPr>
            <w:noProof/>
            <w:lang w:val="zh-CN"/>
          </w:rPr>
          <w:t>2</w:t>
        </w:r>
        <w:r>
          <w:fldChar w:fldCharType="end"/>
        </w:r>
      </w:p>
    </w:sdtContent>
  </w:sdt>
  <w:p w:rsidR="00876A89" w:rsidRDefault="00876A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7A" w:rsidRDefault="00F6537A" w:rsidP="00876A89">
      <w:r>
        <w:separator/>
      </w:r>
    </w:p>
  </w:footnote>
  <w:footnote w:type="continuationSeparator" w:id="0">
    <w:p w:rsidR="00F6537A" w:rsidRDefault="00F6537A" w:rsidP="00876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TI2MDhkNTJmNDgxMDcxMDQ2ODQzODgyNTQ4OTcifQ=="/>
  </w:docVars>
  <w:rsids>
    <w:rsidRoot w:val="00FA70F3"/>
    <w:rsid w:val="00073274"/>
    <w:rsid w:val="00876A89"/>
    <w:rsid w:val="00F6537A"/>
    <w:rsid w:val="00FA70F3"/>
    <w:rsid w:val="0CDE3099"/>
    <w:rsid w:val="17171049"/>
    <w:rsid w:val="1A2E57BC"/>
    <w:rsid w:val="213264FE"/>
    <w:rsid w:val="43C33713"/>
    <w:rsid w:val="4A6A6FA8"/>
    <w:rsid w:val="55004DFD"/>
    <w:rsid w:val="55D626BE"/>
    <w:rsid w:val="6C93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qFormat/>
    <w:pPr>
      <w:spacing w:line="560" w:lineRule="exact"/>
      <w:ind w:firstLineChars="200" w:firstLine="640"/>
    </w:pPr>
    <w:rPr>
      <w:rFonts w:eastAsia="方正仿宋简体"/>
      <w:sz w:val="32"/>
    </w:rPr>
  </w:style>
  <w:style w:type="paragraph" w:styleId="a4">
    <w:name w:val="Normal Indent"/>
    <w:basedOn w:val="a"/>
    <w:qFormat/>
    <w:pPr>
      <w:spacing w:line="600" w:lineRule="exact"/>
      <w:ind w:firstLineChars="200" w:firstLine="200"/>
    </w:pPr>
    <w:rPr>
      <w:rFonts w:eastAsia="仿宋_GB2312"/>
      <w:sz w:val="32"/>
    </w:rPr>
  </w:style>
  <w:style w:type="paragraph" w:styleId="a5">
    <w:name w:val="header"/>
    <w:basedOn w:val="a"/>
    <w:link w:val="Char"/>
    <w:rsid w:val="00876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76A89"/>
    <w:rPr>
      <w:kern w:val="2"/>
      <w:sz w:val="18"/>
      <w:szCs w:val="18"/>
    </w:rPr>
  </w:style>
  <w:style w:type="paragraph" w:styleId="a6">
    <w:name w:val="footer"/>
    <w:basedOn w:val="a"/>
    <w:link w:val="Char0"/>
    <w:uiPriority w:val="99"/>
    <w:rsid w:val="00876A89"/>
    <w:pPr>
      <w:tabs>
        <w:tab w:val="center" w:pos="4153"/>
        <w:tab w:val="right" w:pos="8306"/>
      </w:tabs>
      <w:snapToGrid w:val="0"/>
      <w:jc w:val="left"/>
    </w:pPr>
    <w:rPr>
      <w:sz w:val="18"/>
      <w:szCs w:val="18"/>
    </w:rPr>
  </w:style>
  <w:style w:type="character" w:customStyle="1" w:styleId="Char0">
    <w:name w:val="页脚 Char"/>
    <w:basedOn w:val="a1"/>
    <w:link w:val="a6"/>
    <w:uiPriority w:val="99"/>
    <w:rsid w:val="00876A8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qFormat/>
    <w:pPr>
      <w:spacing w:line="560" w:lineRule="exact"/>
      <w:ind w:firstLineChars="200" w:firstLine="640"/>
    </w:pPr>
    <w:rPr>
      <w:rFonts w:eastAsia="方正仿宋简体"/>
      <w:sz w:val="32"/>
    </w:rPr>
  </w:style>
  <w:style w:type="paragraph" w:styleId="a4">
    <w:name w:val="Normal Indent"/>
    <w:basedOn w:val="a"/>
    <w:qFormat/>
    <w:pPr>
      <w:spacing w:line="600" w:lineRule="exact"/>
      <w:ind w:firstLineChars="200" w:firstLine="200"/>
    </w:pPr>
    <w:rPr>
      <w:rFonts w:eastAsia="仿宋_GB2312"/>
      <w:sz w:val="32"/>
    </w:rPr>
  </w:style>
  <w:style w:type="paragraph" w:styleId="a5">
    <w:name w:val="header"/>
    <w:basedOn w:val="a"/>
    <w:link w:val="Char"/>
    <w:rsid w:val="00876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76A89"/>
    <w:rPr>
      <w:kern w:val="2"/>
      <w:sz w:val="18"/>
      <w:szCs w:val="18"/>
    </w:rPr>
  </w:style>
  <w:style w:type="paragraph" w:styleId="a6">
    <w:name w:val="footer"/>
    <w:basedOn w:val="a"/>
    <w:link w:val="Char0"/>
    <w:uiPriority w:val="99"/>
    <w:rsid w:val="00876A89"/>
    <w:pPr>
      <w:tabs>
        <w:tab w:val="center" w:pos="4153"/>
        <w:tab w:val="right" w:pos="8306"/>
      </w:tabs>
      <w:snapToGrid w:val="0"/>
      <w:jc w:val="left"/>
    </w:pPr>
    <w:rPr>
      <w:sz w:val="18"/>
      <w:szCs w:val="18"/>
    </w:rPr>
  </w:style>
  <w:style w:type="character" w:customStyle="1" w:styleId="Char0">
    <w:name w:val="页脚 Char"/>
    <w:basedOn w:val="a1"/>
    <w:link w:val="a6"/>
    <w:uiPriority w:val="99"/>
    <w:rsid w:val="00876A8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李天涛</cp:lastModifiedBy>
  <cp:revision>2</cp:revision>
  <dcterms:created xsi:type="dcterms:W3CDTF">2023-06-06T03:52:00Z</dcterms:created>
  <dcterms:modified xsi:type="dcterms:W3CDTF">2025-07-28T09:20:00Z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8BB89038B3244FDE9D0AC4B730059263_12</vt:lpwstr>
  </property>
</Properties>
</file>